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spacing w:line="360" w:lineRule="auto"/>
        <w:rPr>
          <w:rFonts w:hint="default" w:eastAsia="宋体"/>
          <w:lang w:val="en-US" w:eastAsia="zh-CN"/>
        </w:rPr>
      </w:pPr>
      <w:r>
        <w:drawing>
          <wp:inline distT="0" distB="0" distL="114300" distR="114300">
            <wp:extent cx="2219325" cy="828675"/>
            <wp:effectExtent l="0" t="0" r="9525" b="9525"/>
            <wp:docPr id="6"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公司LOGO"/>
                    <pic:cNvPicPr>
                      <a:picLocks noChangeAspect="1"/>
                    </pic:cNvPicPr>
                  </pic:nvPicPr>
                  <pic:blipFill>
                    <a:blip r:embed="rId11"/>
                    <a:stretch>
                      <a:fillRect/>
                    </a:stretch>
                  </pic:blipFill>
                  <pic:spPr>
                    <a:xfrm>
                      <a:off x="0" y="0"/>
                      <a:ext cx="2219325" cy="828675"/>
                    </a:xfrm>
                    <a:prstGeom prst="rect">
                      <a:avLst/>
                    </a:prstGeom>
                    <a:noFill/>
                    <a:ln>
                      <a:noFill/>
                    </a:ln>
                  </pic:spPr>
                </pic:pic>
              </a:graphicData>
            </a:graphic>
          </wp:inline>
        </w:drawing>
      </w:r>
    </w:p>
    <w:p>
      <w:pPr>
        <w:kinsoku w:val="0"/>
        <w:overflowPunct w:val="0"/>
        <w:spacing w:line="360" w:lineRule="auto"/>
        <w:rPr>
          <w:rFonts w:ascii="宋体" w:hAnsi="宋体" w:cs="宋体"/>
          <w:b/>
          <w:kern w:val="0"/>
          <w:sz w:val="44"/>
          <w:szCs w:val="44"/>
        </w:rPr>
      </w:pPr>
    </w:p>
    <w:p>
      <w:pPr>
        <w:jc w:val="center"/>
        <w:rPr>
          <w:rFonts w:hint="eastAsia" w:ascii="黑体" w:hAnsi="黑体" w:eastAsia="黑体" w:cs="黑体"/>
          <w:b/>
          <w:bCs/>
          <w:sz w:val="48"/>
          <w:szCs w:val="48"/>
          <w:lang w:val="en-US" w:eastAsia="zh-CN"/>
        </w:rPr>
      </w:pPr>
    </w:p>
    <w:p>
      <w:pPr>
        <w:jc w:val="center"/>
        <w:rPr>
          <w:rFonts w:hint="eastAsia" w:ascii="黑体" w:hAnsi="黑体" w:eastAsia="黑体" w:cs="黑体"/>
          <w:b/>
          <w:bCs/>
          <w:sz w:val="48"/>
          <w:szCs w:val="48"/>
          <w:lang w:val="en-US" w:eastAsia="zh-CN"/>
        </w:rPr>
      </w:pPr>
      <w:r>
        <w:rPr>
          <w:rFonts w:hint="eastAsia" w:ascii="黑体" w:hAnsi="黑体" w:eastAsia="黑体" w:cs="黑体"/>
          <w:b/>
          <w:bCs/>
          <w:sz w:val="48"/>
          <w:szCs w:val="48"/>
          <w:lang w:val="en-US" w:eastAsia="zh-CN"/>
        </w:rPr>
        <w:t>嘉兴杭州湾石油化工物流有限公司</w:t>
      </w:r>
    </w:p>
    <w:p>
      <w:pPr>
        <w:jc w:val="both"/>
        <w:rPr>
          <w:b/>
          <w:bCs/>
          <w:sz w:val="48"/>
          <w:szCs w:val="48"/>
        </w:rPr>
      </w:pPr>
    </w:p>
    <w:p>
      <w:pPr>
        <w:jc w:val="center"/>
        <w:rPr>
          <w:rFonts w:hint="eastAsia" w:ascii="黑体" w:hAnsi="黑体" w:eastAsia="黑体" w:cs="黑体"/>
          <w:sz w:val="48"/>
          <w:szCs w:val="48"/>
        </w:rPr>
      </w:pPr>
      <w:r>
        <w:rPr>
          <w:rFonts w:hint="eastAsia" w:ascii="黑体" w:hAnsi="黑体" w:eastAsia="黑体" w:cs="黑体"/>
          <w:b/>
          <w:bCs/>
          <w:sz w:val="48"/>
          <w:szCs w:val="48"/>
          <w:lang w:val="en-US" w:eastAsia="zh-CN"/>
        </w:rPr>
        <w:t>红外测温系统安装项目</w:t>
      </w:r>
    </w:p>
    <w:p>
      <w:pPr>
        <w:pStyle w:val="45"/>
        <w:ind w:firstLine="520"/>
        <w:rPr>
          <w:rFonts w:hint="eastAsia" w:ascii="黑体" w:hAnsi="黑体" w:eastAsia="黑体" w:cs="黑体"/>
          <w:sz w:val="48"/>
          <w:szCs w:val="48"/>
        </w:rPr>
      </w:pPr>
    </w:p>
    <w:p>
      <w:pPr>
        <w:jc w:val="center"/>
        <w:rPr>
          <w:rFonts w:hint="eastAsia" w:ascii="黑体" w:hAnsi="黑体" w:eastAsia="黑体" w:cs="黑体"/>
          <w:b/>
          <w:bCs/>
          <w:sz w:val="48"/>
          <w:szCs w:val="48"/>
        </w:rPr>
      </w:pPr>
      <w:r>
        <w:rPr>
          <w:rFonts w:hint="eastAsia" w:ascii="黑体" w:hAnsi="黑体" w:eastAsia="黑体" w:cs="黑体"/>
          <w:b/>
          <w:bCs/>
          <w:sz w:val="48"/>
          <w:szCs w:val="48"/>
        </w:rPr>
        <w:t>询价文件</w:t>
      </w:r>
    </w:p>
    <w:p>
      <w:pPr>
        <w:pStyle w:val="2"/>
        <w:ind w:firstLine="883"/>
        <w:rPr>
          <w:rFonts w:ascii="宋体" w:hAnsi="宋体" w:cs="宋体"/>
          <w:b/>
          <w:sz w:val="44"/>
          <w:szCs w:val="44"/>
        </w:rPr>
      </w:pPr>
    </w:p>
    <w:p>
      <w:pPr>
        <w:kinsoku w:val="0"/>
        <w:overflowPunct w:val="0"/>
        <w:spacing w:line="360" w:lineRule="auto"/>
        <w:jc w:val="center"/>
        <w:rPr>
          <w:rFonts w:ascii="宋体" w:hAnsi="宋体" w:cs="宋体"/>
          <w:b/>
          <w:kern w:val="0"/>
          <w:sz w:val="44"/>
          <w:szCs w:val="44"/>
        </w:rPr>
      </w:pPr>
    </w:p>
    <w:p>
      <w:pPr>
        <w:kinsoku w:val="0"/>
        <w:overflowPunct w:val="0"/>
        <w:spacing w:line="360" w:lineRule="auto"/>
        <w:jc w:val="center"/>
        <w:rPr>
          <w:rFonts w:eastAsia="黑体" w:cs="宋体"/>
          <w:b/>
          <w:kern w:val="0"/>
          <w:sz w:val="52"/>
          <w:szCs w:val="21"/>
        </w:rPr>
      </w:pPr>
    </w:p>
    <w:p>
      <w:pPr>
        <w:kinsoku w:val="0"/>
        <w:overflowPunct w:val="0"/>
        <w:spacing w:line="360" w:lineRule="auto"/>
        <w:jc w:val="center"/>
        <w:rPr>
          <w:rFonts w:eastAsia="黑体" w:cs="宋体"/>
          <w:b/>
          <w:kern w:val="0"/>
          <w:sz w:val="52"/>
          <w:szCs w:val="21"/>
        </w:rPr>
      </w:pPr>
    </w:p>
    <w:p>
      <w:pPr>
        <w:kinsoku w:val="0"/>
        <w:overflowPunct w:val="0"/>
        <w:spacing w:line="360" w:lineRule="auto"/>
        <w:rPr>
          <w:rFonts w:eastAsia="黑体" w:cs="宋体"/>
          <w:b/>
          <w:kern w:val="0"/>
          <w:sz w:val="52"/>
          <w:szCs w:val="21"/>
        </w:rPr>
      </w:pPr>
    </w:p>
    <w:p>
      <w:pPr>
        <w:pStyle w:val="31"/>
        <w:jc w:val="both"/>
      </w:pPr>
    </w:p>
    <w:p>
      <w:pPr>
        <w:tabs>
          <w:tab w:val="center" w:pos="4153"/>
          <w:tab w:val="right" w:pos="8306"/>
        </w:tabs>
        <w:kinsoku w:val="0"/>
        <w:overflowPunct w:val="0"/>
        <w:spacing w:line="360" w:lineRule="auto"/>
        <w:ind w:firstLine="1124" w:firstLineChars="400"/>
        <w:rPr>
          <w:rFonts w:hint="eastAsia" w:eastAsia="宋体" w:cs="宋体"/>
          <w:b/>
          <w:bCs/>
          <w:kern w:val="0"/>
          <w:sz w:val="28"/>
          <w:szCs w:val="21"/>
          <w:lang w:eastAsia="zh-CN"/>
        </w:rPr>
      </w:pPr>
      <w:r>
        <w:rPr>
          <w:rFonts w:hint="eastAsia" w:cs="宋体"/>
          <w:b/>
          <w:bCs/>
          <w:kern w:val="0"/>
          <w:sz w:val="28"/>
          <w:szCs w:val="21"/>
        </w:rPr>
        <w:t>询价人：</w:t>
      </w:r>
      <w:r>
        <w:rPr>
          <w:rFonts w:hint="eastAsia" w:cs="宋体"/>
          <w:b/>
          <w:bCs/>
          <w:kern w:val="0"/>
          <w:sz w:val="28"/>
          <w:szCs w:val="21"/>
          <w:lang w:eastAsia="zh-CN"/>
        </w:rPr>
        <w:t>嘉兴杭州湾石油化工物流有限公司</w:t>
      </w:r>
    </w:p>
    <w:p>
      <w:pPr>
        <w:tabs>
          <w:tab w:val="center" w:pos="4153"/>
          <w:tab w:val="right" w:pos="8306"/>
        </w:tabs>
        <w:kinsoku w:val="0"/>
        <w:overflowPunct w:val="0"/>
        <w:spacing w:line="360" w:lineRule="auto"/>
        <w:ind w:firstLine="3373" w:firstLineChars="1200"/>
        <w:rPr>
          <w:rFonts w:hint="eastAsia"/>
          <w:sz w:val="30"/>
          <w:szCs w:val="30"/>
        </w:rPr>
      </w:pPr>
      <w:r>
        <w:rPr>
          <w:rFonts w:hint="eastAsia" w:cs="宋体"/>
          <w:b/>
          <w:bCs/>
          <w:kern w:val="0"/>
          <w:sz w:val="28"/>
          <w:szCs w:val="21"/>
        </w:rPr>
        <w:t>2021年</w:t>
      </w:r>
      <w:r>
        <w:rPr>
          <w:rFonts w:hint="eastAsia" w:cs="宋体"/>
          <w:b/>
          <w:bCs/>
          <w:kern w:val="0"/>
          <w:sz w:val="28"/>
          <w:szCs w:val="21"/>
          <w:lang w:val="en-US" w:eastAsia="zh-CN"/>
        </w:rPr>
        <w:t>11</w:t>
      </w:r>
      <w:r>
        <w:rPr>
          <w:rFonts w:hint="eastAsia" w:cs="宋体"/>
          <w:b/>
          <w:bCs/>
          <w:kern w:val="0"/>
          <w:sz w:val="28"/>
          <w:szCs w:val="21"/>
        </w:rPr>
        <w:t>月</w:t>
      </w:r>
    </w:p>
    <w:p>
      <w:pPr>
        <w:pStyle w:val="34"/>
        <w:rPr>
          <w:rFonts w:hint="eastAsia"/>
        </w:rPr>
      </w:pPr>
    </w:p>
    <w:p>
      <w:pPr>
        <w:pStyle w:val="47"/>
        <w:spacing w:before="0"/>
        <w:jc w:val="center"/>
        <w:rPr>
          <w:rFonts w:asciiTheme="minorHAnsi" w:hAnsiTheme="minorHAnsi" w:eastAsiaTheme="minorEastAsia" w:cstheme="minorBidi"/>
          <w:color w:val="auto"/>
          <w:kern w:val="2"/>
          <w:sz w:val="21"/>
          <w:szCs w:val="22"/>
          <w:lang w:val="zh-CN"/>
        </w:rPr>
        <w:sectPr>
          <w:headerReference r:id="rId3" w:type="default"/>
          <w:footerReference r:id="rId5" w:type="default"/>
          <w:headerReference r:id="rId4" w:type="even"/>
          <w:footerReference r:id="rId6" w:type="even"/>
          <w:pgSz w:w="11906" w:h="16838"/>
          <w:pgMar w:top="1440" w:right="1800" w:bottom="1440" w:left="1800" w:header="851" w:footer="992" w:gutter="0"/>
          <w:cols w:space="720" w:num="1"/>
          <w:docGrid w:type="lines" w:linePitch="312" w:charSpace="0"/>
        </w:sectPr>
      </w:pPr>
    </w:p>
    <w:sdt>
      <w:sdtPr>
        <w:rPr>
          <w:rFonts w:asciiTheme="minorHAnsi" w:hAnsiTheme="minorHAnsi" w:eastAsiaTheme="minorEastAsia" w:cstheme="minorBidi"/>
          <w:color w:val="auto"/>
          <w:kern w:val="2"/>
          <w:sz w:val="21"/>
          <w:szCs w:val="22"/>
          <w:lang w:val="zh-CN"/>
        </w:rPr>
        <w:id w:val="901338163"/>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47"/>
            <w:spacing w:before="0"/>
            <w:jc w:val="center"/>
            <w:rPr>
              <w:rFonts w:ascii="宋体" w:hAnsi="宋体" w:eastAsia="宋体"/>
              <w:color w:val="auto"/>
              <w:sz w:val="24"/>
              <w:szCs w:val="24"/>
            </w:rPr>
          </w:pPr>
          <w:r>
            <w:rPr>
              <w:rFonts w:hint="eastAsia" w:asciiTheme="minorHAnsi" w:hAnsiTheme="minorHAnsi" w:eastAsiaTheme="minorEastAsia" w:cstheme="minorBidi"/>
              <w:color w:val="auto"/>
              <w:kern w:val="2"/>
              <w:sz w:val="21"/>
              <w:szCs w:val="22"/>
              <w:lang w:val="en-US" w:eastAsia="zh-CN"/>
            </w:rPr>
            <w:t>目</w:t>
          </w:r>
          <w:r>
            <w:rPr>
              <w:rFonts w:ascii="宋体" w:hAnsi="宋体" w:eastAsia="宋体"/>
              <w:color w:val="auto"/>
              <w:sz w:val="24"/>
              <w:szCs w:val="24"/>
              <w:lang w:val="zh-CN"/>
            </w:rPr>
            <w:t>录</w:t>
          </w:r>
        </w:p>
        <w:p>
          <w:pPr>
            <w:pStyle w:val="16"/>
            <w:tabs>
              <w:tab w:val="right" w:leader="dot" w:pos="8306"/>
            </w:tabs>
          </w:pPr>
          <w:r>
            <w:fldChar w:fldCharType="begin"/>
          </w:r>
          <w:r>
            <w:instrText xml:space="preserve"> TOC \o "1-3" \h \z \u </w:instrText>
          </w:r>
          <w:r>
            <w:fldChar w:fldCharType="separate"/>
          </w:r>
          <w:r>
            <w:fldChar w:fldCharType="begin"/>
          </w:r>
          <w:r>
            <w:instrText xml:space="preserve"> HYPERLINK \l _Toc25400 </w:instrText>
          </w:r>
          <w:r>
            <w:fldChar w:fldCharType="separate"/>
          </w:r>
          <w:r>
            <w:rPr>
              <w:rFonts w:hint="eastAsia"/>
              <w:szCs w:val="28"/>
            </w:rPr>
            <w:t>第一章报价人须知</w:t>
          </w:r>
          <w:r>
            <w:tab/>
          </w:r>
          <w:r>
            <w:fldChar w:fldCharType="begin"/>
          </w:r>
          <w:r>
            <w:instrText xml:space="preserve"> PAGEREF _Toc25400 \h </w:instrText>
          </w:r>
          <w:r>
            <w:fldChar w:fldCharType="separate"/>
          </w:r>
          <w:r>
            <w:t>4</w:t>
          </w:r>
          <w:r>
            <w:fldChar w:fldCharType="end"/>
          </w:r>
          <w:r>
            <w:fldChar w:fldCharType="end"/>
          </w:r>
        </w:p>
        <w:p>
          <w:pPr>
            <w:pStyle w:val="17"/>
            <w:tabs>
              <w:tab w:val="right" w:leader="dot" w:pos="8306"/>
            </w:tabs>
          </w:pPr>
          <w:r>
            <w:rPr>
              <w:bCs/>
              <w:lang w:val="zh-CN"/>
            </w:rPr>
            <w:fldChar w:fldCharType="begin"/>
          </w:r>
          <w:r>
            <w:rPr>
              <w:bCs/>
              <w:lang w:val="zh-CN"/>
            </w:rPr>
            <w:instrText xml:space="preserve"> HYPERLINK \l _Toc140 </w:instrText>
          </w:r>
          <w:r>
            <w:rPr>
              <w:bCs/>
              <w:lang w:val="zh-CN"/>
            </w:rPr>
            <w:fldChar w:fldCharType="separate"/>
          </w:r>
          <w:r>
            <w:rPr>
              <w:rFonts w:hint="eastAsia" w:ascii="宋体" w:hAnsi="宋体" w:eastAsia="宋体" w:cs="宋体"/>
              <w:szCs w:val="24"/>
            </w:rPr>
            <w:t>格式一、报价函格式</w:t>
          </w:r>
          <w:r>
            <w:tab/>
          </w:r>
          <w:r>
            <w:fldChar w:fldCharType="begin"/>
          </w:r>
          <w:r>
            <w:instrText xml:space="preserve"> PAGEREF _Toc140 \h </w:instrText>
          </w:r>
          <w:r>
            <w:fldChar w:fldCharType="separate"/>
          </w:r>
          <w:r>
            <w:t>5</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_Toc25578 </w:instrText>
          </w:r>
          <w:r>
            <w:rPr>
              <w:bCs/>
              <w:lang w:val="zh-CN"/>
            </w:rPr>
            <w:fldChar w:fldCharType="separate"/>
          </w:r>
          <w:r>
            <w:rPr>
              <w:rFonts w:hint="eastAsia" w:asciiTheme="minorEastAsia" w:hAnsiTheme="minorEastAsia" w:eastAsiaTheme="minorEastAsia"/>
              <w:szCs w:val="24"/>
              <w:lang w:val="en-US" w:eastAsia="zh-CN"/>
            </w:rPr>
            <w:t>格式二</w:t>
          </w:r>
          <w:r>
            <w:rPr>
              <w:rFonts w:asciiTheme="minorEastAsia" w:hAnsiTheme="minorEastAsia" w:eastAsiaTheme="minorEastAsia"/>
              <w:szCs w:val="24"/>
            </w:rPr>
            <w:t>、</w:t>
          </w:r>
          <w:r>
            <w:rPr>
              <w:rFonts w:hint="eastAsia" w:asciiTheme="minorEastAsia" w:hAnsiTheme="minorEastAsia" w:eastAsiaTheme="minorEastAsia"/>
              <w:szCs w:val="24"/>
              <w:lang w:val="en-US" w:eastAsia="zh-CN"/>
            </w:rPr>
            <w:t>红外测温系统安装项目工程</w:t>
          </w:r>
          <w:r>
            <w:rPr>
              <w:rFonts w:hint="eastAsia" w:asciiTheme="minorEastAsia" w:hAnsiTheme="minorEastAsia" w:eastAsiaTheme="minorEastAsia"/>
              <w:szCs w:val="24"/>
            </w:rPr>
            <w:t>设备材料及安装报价清单</w:t>
          </w:r>
          <w:r>
            <w:tab/>
          </w:r>
          <w:r>
            <w:fldChar w:fldCharType="begin"/>
          </w:r>
          <w:r>
            <w:instrText xml:space="preserve"> PAGEREF _Toc25578 \h </w:instrText>
          </w:r>
          <w:r>
            <w:fldChar w:fldCharType="separate"/>
          </w:r>
          <w:r>
            <w:t>6</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_Toc23922 </w:instrText>
          </w:r>
          <w:r>
            <w:rPr>
              <w:bCs/>
              <w:lang w:val="zh-CN"/>
            </w:rPr>
            <w:fldChar w:fldCharType="separate"/>
          </w:r>
          <w:r>
            <w:rPr>
              <w:rFonts w:hint="eastAsia" w:ascii="宋体" w:hAnsi="宋体" w:eastAsia="宋体" w:cs="宋体"/>
              <w:szCs w:val="24"/>
            </w:rPr>
            <w:t>格式三、法定代表人资格证明书格式</w:t>
          </w:r>
          <w:r>
            <w:tab/>
          </w:r>
          <w:r>
            <w:fldChar w:fldCharType="begin"/>
          </w:r>
          <w:r>
            <w:instrText xml:space="preserve"> PAGEREF _Toc23922 \h </w:instrText>
          </w:r>
          <w:r>
            <w:fldChar w:fldCharType="separate"/>
          </w:r>
          <w:r>
            <w:t>7</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_Toc17632 </w:instrText>
          </w:r>
          <w:r>
            <w:rPr>
              <w:bCs/>
              <w:lang w:val="zh-CN"/>
            </w:rPr>
            <w:fldChar w:fldCharType="separate"/>
          </w:r>
          <w:r>
            <w:rPr>
              <w:rFonts w:hint="eastAsia" w:ascii="宋体" w:hAnsi="宋体" w:eastAsia="宋体" w:cs="宋体"/>
              <w:szCs w:val="24"/>
            </w:rPr>
            <w:t>格式四、授权委托书格式</w:t>
          </w:r>
          <w:r>
            <w:tab/>
          </w:r>
          <w:r>
            <w:fldChar w:fldCharType="begin"/>
          </w:r>
          <w:r>
            <w:instrText xml:space="preserve"> PAGEREF _Toc17632 \h </w:instrText>
          </w:r>
          <w:r>
            <w:fldChar w:fldCharType="separate"/>
          </w:r>
          <w:r>
            <w:t>8</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_Toc5553 </w:instrText>
          </w:r>
          <w:r>
            <w:rPr>
              <w:bCs/>
              <w:lang w:val="zh-CN"/>
            </w:rPr>
            <w:fldChar w:fldCharType="separate"/>
          </w:r>
          <w:r>
            <w:rPr>
              <w:rFonts w:hint="eastAsia"/>
              <w:bCs/>
              <w:szCs w:val="24"/>
            </w:rPr>
            <w:t>格式五、差异表格式</w:t>
          </w:r>
          <w:r>
            <w:tab/>
          </w:r>
          <w:r>
            <w:fldChar w:fldCharType="begin"/>
          </w:r>
          <w:r>
            <w:instrText xml:space="preserve"> PAGEREF _Toc5553 \h </w:instrText>
          </w:r>
          <w:r>
            <w:fldChar w:fldCharType="separate"/>
          </w:r>
          <w:r>
            <w:t>9</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_Toc17502 </w:instrText>
          </w:r>
          <w:r>
            <w:rPr>
              <w:bCs/>
              <w:lang w:val="zh-CN"/>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六</w:t>
          </w:r>
          <w:r>
            <w:rPr>
              <w:rFonts w:hint="eastAsia" w:ascii="宋体" w:hAnsi="宋体" w:eastAsia="宋体" w:cs="宋体"/>
              <w:szCs w:val="24"/>
            </w:rPr>
            <w:t>、合同条款确认函格式</w:t>
          </w:r>
          <w:r>
            <w:tab/>
          </w:r>
          <w:r>
            <w:fldChar w:fldCharType="begin"/>
          </w:r>
          <w:r>
            <w:instrText xml:space="preserve"> PAGEREF _Toc17502 \h </w:instrText>
          </w:r>
          <w:r>
            <w:fldChar w:fldCharType="separate"/>
          </w:r>
          <w:r>
            <w:t>10</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_Toc29098 </w:instrText>
          </w:r>
          <w:r>
            <w:rPr>
              <w:bCs/>
              <w:lang w:val="zh-CN"/>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七</w:t>
          </w:r>
          <w:r>
            <w:rPr>
              <w:rFonts w:hint="eastAsia" w:ascii="宋体" w:hAnsi="宋体" w:eastAsia="宋体" w:cs="宋体"/>
              <w:szCs w:val="24"/>
            </w:rPr>
            <w:t>、</w:t>
          </w:r>
          <w:r>
            <w:rPr>
              <w:rFonts w:hint="eastAsia" w:ascii="宋体" w:hAnsi="宋体" w:eastAsia="宋体" w:cs="宋体"/>
              <w:szCs w:val="24"/>
              <w:lang w:val="zh-CN"/>
            </w:rPr>
            <w:t>营业执照和资质证书复印件</w:t>
          </w:r>
          <w:r>
            <w:tab/>
          </w:r>
          <w:r>
            <w:fldChar w:fldCharType="begin"/>
          </w:r>
          <w:r>
            <w:instrText xml:space="preserve"> PAGEREF _Toc29098 \h </w:instrText>
          </w:r>
          <w:r>
            <w:fldChar w:fldCharType="separate"/>
          </w:r>
          <w:r>
            <w:t>11</w:t>
          </w:r>
          <w:r>
            <w:fldChar w:fldCharType="end"/>
          </w:r>
          <w:r>
            <w:rPr>
              <w:bCs/>
              <w:lang w:val="zh-CN"/>
            </w:rPr>
            <w:fldChar w:fldCharType="end"/>
          </w:r>
        </w:p>
        <w:p>
          <w:pPr>
            <w:pStyle w:val="16"/>
            <w:tabs>
              <w:tab w:val="right" w:leader="dot" w:pos="8306"/>
            </w:tabs>
          </w:pPr>
          <w:r>
            <w:rPr>
              <w:bCs/>
              <w:lang w:val="zh-CN"/>
            </w:rPr>
            <w:fldChar w:fldCharType="begin"/>
          </w:r>
          <w:r>
            <w:rPr>
              <w:bCs/>
              <w:lang w:val="zh-CN"/>
            </w:rPr>
            <w:instrText xml:space="preserve"> HYPERLINK \l _Toc10175 </w:instrText>
          </w:r>
          <w:r>
            <w:rPr>
              <w:bCs/>
              <w:lang w:val="zh-CN"/>
            </w:rPr>
            <w:fldChar w:fldCharType="separate"/>
          </w:r>
          <w:r>
            <w:rPr>
              <w:rFonts w:hint="eastAsia"/>
              <w:bCs/>
              <w:szCs w:val="28"/>
              <w:lang w:val="en-US" w:eastAsia="zh-CN"/>
            </w:rPr>
            <w:t>第二章</w:t>
          </w:r>
          <w:r>
            <w:rPr>
              <w:rFonts w:hint="eastAsia"/>
              <w:bCs/>
              <w:szCs w:val="28"/>
            </w:rPr>
            <w:t>合同主要协议条款</w:t>
          </w:r>
          <w:r>
            <w:tab/>
          </w:r>
          <w:r>
            <w:fldChar w:fldCharType="begin"/>
          </w:r>
          <w:r>
            <w:instrText xml:space="preserve"> PAGEREF _Toc10175 \h </w:instrText>
          </w:r>
          <w:r>
            <w:fldChar w:fldCharType="separate"/>
          </w:r>
          <w:r>
            <w:t>12</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_Toc19905 </w:instrText>
          </w:r>
          <w:r>
            <w:rPr>
              <w:bCs/>
              <w:lang w:val="zh-CN"/>
            </w:rPr>
            <w:fldChar w:fldCharType="separate"/>
          </w:r>
          <w:r>
            <w:rPr>
              <w:rFonts w:hint="eastAsia" w:ascii="宋体" w:hAnsi="宋体" w:eastAsia="宋体"/>
              <w:szCs w:val="32"/>
              <w:lang w:val="en-US" w:eastAsia="zh-CN"/>
            </w:rPr>
            <w:t>一</w:t>
          </w:r>
          <w:r>
            <w:rPr>
              <w:rFonts w:hint="eastAsia" w:ascii="宋体" w:hAnsi="宋体" w:eastAsia="宋体"/>
              <w:szCs w:val="32"/>
            </w:rPr>
            <w:t>、合同条款</w:t>
          </w:r>
          <w:r>
            <w:tab/>
          </w:r>
          <w:r>
            <w:fldChar w:fldCharType="begin"/>
          </w:r>
          <w:r>
            <w:instrText xml:space="preserve"> PAGEREF _Toc19905 \h </w:instrText>
          </w:r>
          <w:r>
            <w:fldChar w:fldCharType="separate"/>
          </w:r>
          <w:r>
            <w:t>12</w:t>
          </w:r>
          <w:r>
            <w:fldChar w:fldCharType="end"/>
          </w:r>
          <w:r>
            <w:rPr>
              <w:bCs/>
              <w:lang w:val="zh-CN"/>
            </w:rPr>
            <w:fldChar w:fldCharType="end"/>
          </w:r>
        </w:p>
        <w:p>
          <w:pPr>
            <w:pStyle w:val="17"/>
            <w:tabs>
              <w:tab w:val="right" w:leader="dot" w:pos="8306"/>
            </w:tabs>
          </w:pPr>
          <w:r>
            <w:rPr>
              <w:bCs/>
              <w:lang w:val="zh-CN"/>
            </w:rPr>
            <w:fldChar w:fldCharType="begin"/>
          </w:r>
          <w:r>
            <w:rPr>
              <w:bCs/>
              <w:lang w:val="zh-CN"/>
            </w:rPr>
            <w:instrText xml:space="preserve"> HYPERLINK \l _Toc15467 </w:instrText>
          </w:r>
          <w:r>
            <w:rPr>
              <w:bCs/>
              <w:lang w:val="zh-CN"/>
            </w:rPr>
            <w:fldChar w:fldCharType="separate"/>
          </w:r>
          <w:r>
            <w:rPr>
              <w:rFonts w:hint="eastAsia" w:ascii="宋体" w:hAnsi="宋体" w:cs="宋体"/>
              <w:bCs/>
              <w:szCs w:val="21"/>
              <w:lang w:val="en-US" w:eastAsia="zh-CN"/>
            </w:rPr>
            <w:t>二、合同附件</w:t>
          </w:r>
          <w:r>
            <w:tab/>
          </w:r>
          <w:r>
            <w:fldChar w:fldCharType="begin"/>
          </w:r>
          <w:r>
            <w:instrText xml:space="preserve"> PAGEREF _Toc15467 \h </w:instrText>
          </w:r>
          <w:r>
            <w:fldChar w:fldCharType="separate"/>
          </w:r>
          <w:r>
            <w:t>15</w:t>
          </w:r>
          <w:r>
            <w:fldChar w:fldCharType="end"/>
          </w:r>
          <w:r>
            <w:rPr>
              <w:bCs/>
              <w:lang w:val="zh-CN"/>
            </w:rPr>
            <w:fldChar w:fldCharType="end"/>
          </w:r>
        </w:p>
        <w:p>
          <w:pPr>
            <w:pStyle w:val="11"/>
            <w:tabs>
              <w:tab w:val="right" w:leader="dot" w:pos="8306"/>
            </w:tabs>
          </w:pPr>
          <w:r>
            <w:rPr>
              <w:bCs/>
              <w:lang w:val="zh-CN"/>
            </w:rPr>
            <w:fldChar w:fldCharType="begin"/>
          </w:r>
          <w:r>
            <w:rPr>
              <w:bCs/>
              <w:lang w:val="zh-CN"/>
            </w:rPr>
            <w:instrText xml:space="preserve"> HYPERLINK \l _Toc25097 </w:instrText>
          </w:r>
          <w:r>
            <w:rPr>
              <w:bCs/>
              <w:lang w:val="zh-CN"/>
            </w:rPr>
            <w:fldChar w:fldCharType="separate"/>
          </w:r>
          <w:r>
            <w:rPr>
              <w:rFonts w:hint="eastAsia" w:cs="黑体" w:asciiTheme="minorEastAsia" w:hAnsiTheme="minorEastAsia" w:eastAsiaTheme="minorEastAsia"/>
              <w:bCs/>
              <w:szCs w:val="21"/>
            </w:rPr>
            <w:t>附件</w:t>
          </w:r>
          <w:r>
            <w:rPr>
              <w:rFonts w:hint="eastAsia" w:cs="黑体" w:asciiTheme="minorEastAsia" w:hAnsiTheme="minorEastAsia" w:eastAsiaTheme="minorEastAsia"/>
              <w:bCs/>
              <w:szCs w:val="21"/>
              <w:lang w:val="en-US" w:eastAsia="zh-CN"/>
            </w:rPr>
            <w:t>1</w:t>
          </w:r>
          <w:r>
            <w:rPr>
              <w:rFonts w:hint="eastAsia" w:cs="黑体" w:asciiTheme="minorEastAsia" w:hAnsiTheme="minorEastAsia" w:eastAsiaTheme="minorEastAsia"/>
              <w:bCs/>
              <w:szCs w:val="21"/>
            </w:rPr>
            <w:t>：廉洁协议</w:t>
          </w:r>
          <w:r>
            <w:tab/>
          </w:r>
          <w:r>
            <w:fldChar w:fldCharType="begin"/>
          </w:r>
          <w:r>
            <w:instrText xml:space="preserve"> PAGEREF _Toc25097 \h </w:instrText>
          </w:r>
          <w:r>
            <w:fldChar w:fldCharType="separate"/>
          </w:r>
          <w:r>
            <w:t>16</w:t>
          </w:r>
          <w:r>
            <w:fldChar w:fldCharType="end"/>
          </w:r>
          <w:r>
            <w:rPr>
              <w:bCs/>
              <w:lang w:val="zh-CN"/>
            </w:rPr>
            <w:fldChar w:fldCharType="end"/>
          </w:r>
        </w:p>
        <w:p>
          <w:pPr>
            <w:pStyle w:val="11"/>
            <w:tabs>
              <w:tab w:val="right" w:leader="dot" w:pos="8306"/>
            </w:tabs>
          </w:pPr>
          <w:r>
            <w:rPr>
              <w:bCs/>
              <w:lang w:val="zh-CN"/>
            </w:rPr>
            <w:fldChar w:fldCharType="begin"/>
          </w:r>
          <w:r>
            <w:rPr>
              <w:bCs/>
              <w:lang w:val="zh-CN"/>
            </w:rPr>
            <w:instrText xml:space="preserve"> HYPERLINK \l _Toc8523 </w:instrText>
          </w:r>
          <w:r>
            <w:rPr>
              <w:bCs/>
              <w:lang w:val="zh-CN"/>
            </w:rPr>
            <w:fldChar w:fldCharType="separate"/>
          </w:r>
          <w:r>
            <w:rPr>
              <w:rFonts w:hint="eastAsia"/>
              <w:bCs/>
              <w:szCs w:val="21"/>
            </w:rPr>
            <w:t>附</w:t>
          </w:r>
          <w:r>
            <w:rPr>
              <w:bCs/>
              <w:szCs w:val="21"/>
            </w:rPr>
            <w:t>件</w:t>
          </w:r>
          <w:r>
            <w:rPr>
              <w:rFonts w:hint="eastAsia"/>
              <w:bCs/>
              <w:szCs w:val="21"/>
              <w:lang w:val="en-US" w:eastAsia="zh-CN"/>
            </w:rPr>
            <w:t>2</w:t>
          </w:r>
          <w:r>
            <w:rPr>
              <w:rFonts w:hint="eastAsia"/>
              <w:bCs/>
              <w:szCs w:val="21"/>
              <w:lang w:eastAsia="zh-CN"/>
            </w:rPr>
            <w:t>：</w:t>
          </w:r>
          <w:r>
            <w:rPr>
              <w:rFonts w:hint="eastAsia" w:ascii="宋体" w:hAnsi="宋体"/>
              <w:bCs/>
              <w:szCs w:val="21"/>
            </w:rPr>
            <w:t>安全生产管理协议</w:t>
          </w:r>
          <w:r>
            <w:tab/>
          </w:r>
          <w:r>
            <w:fldChar w:fldCharType="begin"/>
          </w:r>
          <w:r>
            <w:instrText xml:space="preserve"> PAGEREF _Toc8523 \h </w:instrText>
          </w:r>
          <w:r>
            <w:fldChar w:fldCharType="separate"/>
          </w:r>
          <w:r>
            <w:t>17</w:t>
          </w:r>
          <w:r>
            <w:fldChar w:fldCharType="end"/>
          </w:r>
          <w:r>
            <w:rPr>
              <w:bCs/>
              <w:lang w:val="zh-CN"/>
            </w:rPr>
            <w:fldChar w:fldCharType="end"/>
          </w:r>
        </w:p>
        <w:p>
          <w:pPr>
            <w:pStyle w:val="11"/>
            <w:tabs>
              <w:tab w:val="right" w:leader="dot" w:pos="8306"/>
            </w:tabs>
          </w:pPr>
          <w:r>
            <w:rPr>
              <w:bCs/>
              <w:lang w:val="zh-CN"/>
            </w:rPr>
            <w:fldChar w:fldCharType="begin"/>
          </w:r>
          <w:r>
            <w:rPr>
              <w:bCs/>
              <w:lang w:val="zh-CN"/>
            </w:rPr>
            <w:instrText xml:space="preserve"> HYPERLINK \l _Toc1124 </w:instrText>
          </w:r>
          <w:r>
            <w:rPr>
              <w:bCs/>
              <w:lang w:val="zh-CN"/>
            </w:rPr>
            <w:fldChar w:fldCharType="separate"/>
          </w:r>
          <w:r>
            <w:rPr>
              <w:rFonts w:hint="eastAsia" w:ascii="宋体" w:hAnsi="宋体" w:cs="宋体"/>
              <w:bCs/>
              <w:szCs w:val="21"/>
            </w:rPr>
            <w:t>附件</w:t>
          </w:r>
          <w:r>
            <w:rPr>
              <w:rFonts w:hint="eastAsia" w:ascii="宋体" w:hAnsi="宋体" w:cs="宋体"/>
              <w:bCs/>
              <w:szCs w:val="21"/>
              <w:lang w:val="en-US" w:eastAsia="zh-CN"/>
            </w:rPr>
            <w:t>3</w:t>
          </w:r>
          <w:r>
            <w:rPr>
              <w:rFonts w:hint="eastAsia" w:ascii="宋体" w:hAnsi="宋体" w:cs="宋体"/>
              <w:bCs/>
              <w:szCs w:val="21"/>
            </w:rPr>
            <w:t>：疫情防控期间第三方单位进港作业防疫管理协议</w:t>
          </w:r>
          <w:r>
            <w:tab/>
          </w:r>
          <w:r>
            <w:fldChar w:fldCharType="begin"/>
          </w:r>
          <w:r>
            <w:instrText xml:space="preserve"> PAGEREF _Toc1124 \h </w:instrText>
          </w:r>
          <w:r>
            <w:fldChar w:fldCharType="separate"/>
          </w:r>
          <w:r>
            <w:t>21</w:t>
          </w:r>
          <w:r>
            <w:fldChar w:fldCharType="end"/>
          </w:r>
          <w:r>
            <w:rPr>
              <w:bCs/>
              <w:lang w:val="zh-CN"/>
            </w:rPr>
            <w:fldChar w:fldCharType="end"/>
          </w:r>
        </w:p>
        <w:p>
          <w:pPr>
            <w:rPr>
              <w:rFonts w:asciiTheme="minorHAnsi" w:hAnsiTheme="minorHAnsi" w:eastAsiaTheme="minorEastAsia" w:cstheme="minorBidi"/>
              <w:b/>
              <w:bCs/>
              <w:color w:val="auto"/>
              <w:kern w:val="2"/>
              <w:sz w:val="21"/>
              <w:szCs w:val="22"/>
              <w:lang w:val="zh-CN"/>
            </w:rPr>
          </w:pPr>
          <w:r>
            <w:rPr>
              <w:bCs/>
              <w:lang w:val="zh-CN"/>
            </w:rPr>
            <w:fldChar w:fldCharType="end"/>
          </w:r>
        </w:p>
      </w:sdtContent>
    </w:sdt>
    <w:p>
      <w:pPr>
        <w:rPr>
          <w:rFonts w:hint="eastAsia"/>
        </w:rPr>
      </w:pPr>
      <w:r>
        <w:rPr>
          <w:rFonts w:hint="eastAsia"/>
        </w:rPr>
        <w:br w:type="page"/>
      </w:r>
    </w:p>
    <w:p>
      <w:pPr>
        <w:pStyle w:val="34"/>
      </w:pPr>
      <w:r>
        <w:rPr>
          <w:rFonts w:hint="eastAsia"/>
          <w:lang w:eastAsia="zh-CN"/>
        </w:rPr>
        <w:t>嘉兴杭州湾石油化工物流有限公司</w:t>
      </w:r>
      <w:r>
        <w:rPr>
          <w:rFonts w:hint="eastAsia"/>
        </w:rPr>
        <w:t>【</w:t>
      </w:r>
      <w:r>
        <w:rPr>
          <w:rFonts w:hint="eastAsia"/>
          <w:lang w:val="en-US" w:eastAsia="zh-CN"/>
        </w:rPr>
        <w:t>红外测温系统安装项目</w:t>
      </w:r>
      <w:r>
        <w:rPr>
          <w:rFonts w:hint="eastAsia"/>
        </w:rPr>
        <w:t>】</w:t>
      </w:r>
    </w:p>
    <w:p>
      <w:pPr>
        <w:pStyle w:val="34"/>
        <w:rPr>
          <w:rFonts w:hint="eastAsia"/>
        </w:rPr>
      </w:pPr>
      <w:r>
        <w:rPr>
          <w:rFonts w:hint="eastAsia"/>
        </w:rPr>
        <w:t>询价公告</w:t>
      </w:r>
    </w:p>
    <w:p>
      <w:pPr>
        <w:pStyle w:val="34"/>
        <w:rPr>
          <w:rFonts w:hint="eastAsia"/>
        </w:rPr>
      </w:pPr>
    </w:p>
    <w:p>
      <w:pPr>
        <w:pageBreakBefore w:val="0"/>
        <w:widowControl w:val="0"/>
        <w:wordWrap/>
        <w:topLinePunct w:val="0"/>
        <w:autoSpaceDE/>
        <w:autoSpaceDN/>
        <w:bidi w:val="0"/>
        <w:adjustRightInd/>
        <w:snapToGrid/>
        <w:spacing w:before="0" w:after="0" w:line="360" w:lineRule="auto"/>
        <w:ind w:firstLine="420" w:firstLineChars="200"/>
        <w:textAlignment w:val="auto"/>
        <w:outlineLvl w:val="9"/>
        <w:rPr>
          <w:rFonts w:hint="eastAsia" w:ascii="宋体" w:hAnsi="宋体" w:eastAsia="宋体" w:cs="宋体"/>
          <w:b w:val="0"/>
          <w:kern w:val="2"/>
          <w:sz w:val="21"/>
          <w:szCs w:val="22"/>
          <w:lang w:val="en-US" w:eastAsia="zh-CN" w:bidi="ar-SA"/>
        </w:rPr>
      </w:pPr>
      <w:r>
        <w:rPr>
          <w:rFonts w:hint="eastAsia" w:ascii="宋体" w:hAnsi="宋体" w:eastAsia="宋体" w:cs="宋体"/>
          <w:b w:val="0"/>
          <w:kern w:val="2"/>
          <w:sz w:val="21"/>
          <w:szCs w:val="22"/>
          <w:lang w:val="en-US" w:eastAsia="zh-CN" w:bidi="ar-SA"/>
        </w:rPr>
        <w:t>本项目为嘉兴杭州湾石油化工物流有限公司【红外测温系统安装项目工程】项目。项目业主为【嘉兴杭州湾石油化工物流有限公司】，现对该项目的进行询比价。请有条件的供货方按我司的有关要求参加报价，待我司综合评定后选择合格可靠信任的合作方。</w:t>
      </w:r>
    </w:p>
    <w:p>
      <w:pPr>
        <w:pStyle w:val="32"/>
        <w:pageBreakBefore w:val="0"/>
        <w:widowControl w:val="0"/>
        <w:wordWrap/>
        <w:topLinePunct w:val="0"/>
        <w:autoSpaceDE/>
        <w:autoSpaceDN/>
        <w:bidi w:val="0"/>
        <w:adjustRightInd/>
        <w:snapToGrid/>
        <w:spacing w:line="360" w:lineRule="auto"/>
        <w:ind w:firstLine="420"/>
        <w:textAlignment w:val="auto"/>
        <w:rPr>
          <w:rFonts w:hint="eastAsia" w:cs="Times New Roman"/>
        </w:rPr>
      </w:pPr>
      <w:r>
        <w:rPr>
          <w:rFonts w:hint="eastAsia" w:ascii="宋体" w:hAnsi="宋体"/>
          <w:szCs w:val="21"/>
        </w:rPr>
        <w:t>报价人</w:t>
      </w:r>
      <w:r>
        <w:rPr>
          <w:rFonts w:hint="eastAsia" w:ascii="宋体" w:hAnsi="宋体"/>
          <w:szCs w:val="21"/>
          <w:lang w:val="en-US" w:eastAsia="zh-CN"/>
        </w:rPr>
        <w:t>应</w:t>
      </w:r>
      <w:r>
        <w:rPr>
          <w:rFonts w:hint="eastAsia" w:ascii="宋体" w:hAnsi="宋体"/>
          <w:szCs w:val="21"/>
        </w:rPr>
        <w:t>根据询价人合同内提出的要求，进行</w:t>
      </w:r>
      <w:r>
        <w:rPr>
          <w:rFonts w:hint="eastAsia" w:ascii="宋体" w:hAnsi="宋体"/>
          <w:szCs w:val="21"/>
          <w:lang w:val="en-US" w:eastAsia="zh-CN"/>
        </w:rPr>
        <w:t>红外测温设备的采购，并对设备进行调试，使设备能够正常投入使</w:t>
      </w:r>
      <w:bookmarkStart w:id="36" w:name="_GoBack"/>
      <w:bookmarkEnd w:id="36"/>
      <w:r>
        <w:rPr>
          <w:rFonts w:hint="eastAsia" w:ascii="宋体" w:hAnsi="宋体"/>
          <w:szCs w:val="21"/>
          <w:lang w:val="en-US" w:eastAsia="zh-CN"/>
        </w:rPr>
        <w:t>用</w:t>
      </w:r>
      <w:r>
        <w:rPr>
          <w:rFonts w:hint="eastAsia" w:ascii="宋体" w:hAnsi="宋体"/>
          <w:szCs w:val="21"/>
        </w:rPr>
        <w:t>。</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ascii="宋体" w:hAnsi="宋体" w:eastAsia="宋体" w:cs="Times New Roman"/>
          <w:b/>
          <w:bCs/>
          <w:szCs w:val="21"/>
        </w:rPr>
      </w:pPr>
      <w:r>
        <w:rPr>
          <w:rFonts w:hint="eastAsia" w:ascii="宋体" w:hAnsi="宋体" w:eastAsia="宋体" w:cs="Times New Roman"/>
          <w:b/>
          <w:bCs/>
          <w:szCs w:val="21"/>
        </w:rPr>
        <w:t>1、采购方式：公开询价</w:t>
      </w:r>
    </w:p>
    <w:p>
      <w:pPr>
        <w:pStyle w:val="12"/>
        <w:pageBreakBefore w:val="0"/>
        <w:widowControl w:val="0"/>
        <w:wordWrap/>
        <w:topLinePunct w:val="0"/>
        <w:autoSpaceDE/>
        <w:autoSpaceDN/>
        <w:bidi w:val="0"/>
        <w:adjustRightInd/>
        <w:snapToGrid/>
        <w:spacing w:line="360" w:lineRule="auto"/>
        <w:jc w:val="left"/>
        <w:textAlignment w:val="auto"/>
        <w:rPr>
          <w:rFonts w:hint="eastAsia" w:asciiTheme="minorEastAsia" w:hAnsiTheme="minorEastAsia" w:eastAsiaTheme="minorEastAsia"/>
          <w:b/>
          <w:lang w:eastAsia="zh-CN"/>
        </w:rPr>
      </w:pPr>
      <w:r>
        <w:rPr>
          <w:rFonts w:hint="eastAsia" w:ascii="宋体" w:hAnsi="宋体" w:eastAsia="宋体" w:cs="Times New Roman"/>
          <w:b/>
          <w:bCs/>
          <w:szCs w:val="21"/>
        </w:rPr>
        <w:t>2、采购内容：</w:t>
      </w:r>
      <w:r>
        <w:rPr>
          <w:rFonts w:hint="eastAsia" w:hAnsi="宋体" w:cs="Times New Roman"/>
          <w:b/>
          <w:bCs/>
          <w:szCs w:val="21"/>
          <w:lang w:val="en-US" w:eastAsia="zh-CN"/>
        </w:rPr>
        <w:t>红外测温系统安装项目</w:t>
      </w:r>
      <w:r>
        <w:rPr>
          <w:rFonts w:hint="eastAsia" w:ascii="宋体" w:hAnsi="宋体" w:eastAsia="宋体" w:cs="Times New Roman"/>
          <w:b/>
          <w:bCs/>
          <w:szCs w:val="21"/>
          <w:lang w:val="en-US" w:eastAsia="zh-CN"/>
        </w:rPr>
        <w:t>所需设备采购及安装调试</w:t>
      </w:r>
      <w:r>
        <w:rPr>
          <w:rFonts w:hint="eastAsia" w:ascii="宋体" w:hAnsi="宋体" w:eastAsia="宋体" w:cs="Times New Roman"/>
          <w:b/>
          <w:bCs/>
          <w:szCs w:val="21"/>
        </w:rPr>
        <w:t>，详见</w:t>
      </w:r>
      <w:r>
        <w:rPr>
          <w:rFonts w:hint="eastAsia" w:asciiTheme="minorEastAsia" w:hAnsiTheme="minorEastAsia" w:eastAsiaTheme="minorEastAsia"/>
          <w:b/>
          <w:lang w:eastAsia="zh-CN"/>
        </w:rPr>
        <w:t>《</w:t>
      </w:r>
      <w:r>
        <w:rPr>
          <w:rFonts w:hint="eastAsia" w:asciiTheme="minorEastAsia" w:hAnsiTheme="minorEastAsia" w:eastAsiaTheme="minorEastAsia"/>
          <w:b/>
        </w:rPr>
        <w:t>设备材料及安装报价清单</w:t>
      </w:r>
      <w:r>
        <w:rPr>
          <w:rFonts w:hint="eastAsia" w:asciiTheme="minorEastAsia" w:hAnsiTheme="minorEastAsia" w:eastAsiaTheme="minorEastAsia"/>
          <w:b/>
          <w:lang w:eastAsia="zh-CN"/>
        </w:rPr>
        <w:t>》</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ascii="宋体" w:hAnsi="宋体" w:eastAsia="宋体"/>
          <w:b/>
          <w:szCs w:val="21"/>
        </w:rPr>
      </w:pPr>
      <w:r>
        <w:rPr>
          <w:rFonts w:hint="eastAsia" w:ascii="宋体" w:hAnsi="宋体" w:eastAsia="宋体"/>
          <w:b/>
          <w:szCs w:val="21"/>
        </w:rPr>
        <w:t>3、合格报价人的资格条件、要求</w:t>
      </w:r>
    </w:p>
    <w:p>
      <w:pPr>
        <w:pStyle w:val="33"/>
        <w:pageBreakBefore w:val="0"/>
        <w:widowControl w:val="0"/>
        <w:wordWrap/>
        <w:topLinePunct w:val="0"/>
        <w:autoSpaceDE/>
        <w:autoSpaceDN/>
        <w:bidi w:val="0"/>
        <w:adjustRightInd/>
        <w:snapToGrid/>
        <w:spacing w:line="360" w:lineRule="auto"/>
        <w:textAlignment w:val="auto"/>
      </w:pPr>
      <w:r>
        <w:rPr>
          <w:rFonts w:hint="eastAsia"/>
        </w:rPr>
        <w:t>（1）具有独立承担民事责任的能力。</w:t>
      </w:r>
    </w:p>
    <w:p>
      <w:pPr>
        <w:pageBreakBefore w:val="0"/>
        <w:widowControl w:val="0"/>
        <w:wordWrap/>
        <w:topLinePunct w:val="0"/>
        <w:autoSpaceDE/>
        <w:autoSpaceDN/>
        <w:bidi w:val="0"/>
        <w:adjustRightInd/>
        <w:snapToGrid/>
        <w:spacing w:line="360" w:lineRule="auto"/>
        <w:ind w:firstLine="420" w:firstLineChars="200"/>
        <w:textAlignment w:val="auto"/>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）有依法缴纳税收和社会保障资金的良好记录，在经营活动中没有重大违法记录。</w:t>
      </w:r>
    </w:p>
    <w:p>
      <w:pPr>
        <w:pageBreakBefore w:val="0"/>
        <w:widowControl w:val="0"/>
        <w:wordWrap/>
        <w:topLinePunct w:val="0"/>
        <w:autoSpaceDE/>
        <w:autoSpaceDN/>
        <w:bidi w:val="0"/>
        <w:adjustRightInd/>
        <w:snapToGrid/>
        <w:spacing w:line="360" w:lineRule="auto"/>
        <w:ind w:firstLine="420" w:firstLineChars="200"/>
        <w:textAlignment w:val="auto"/>
        <w:rPr>
          <w:rFonts w:hint="eastAsia"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）必须以公司和企业名义参加，任何个人不准参加。</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hint="eastAsia" w:ascii="宋体" w:hAnsi="宋体" w:eastAsia="宋体"/>
          <w:szCs w:val="21"/>
          <w:highlight w:val="none"/>
        </w:rPr>
      </w:pPr>
      <w:r>
        <w:rPr>
          <w:rFonts w:hint="eastAsia" w:ascii="宋体" w:hAnsi="宋体" w:eastAsia="宋体"/>
          <w:b/>
          <w:szCs w:val="21"/>
        </w:rPr>
        <w:t>4、评标标准：</w:t>
      </w:r>
      <w:r>
        <w:rPr>
          <w:rFonts w:hint="eastAsia" w:ascii="宋体" w:hAnsi="宋体" w:eastAsia="宋体"/>
          <w:szCs w:val="21"/>
        </w:rPr>
        <w:t>经评审的最低</w:t>
      </w:r>
      <w:r>
        <w:rPr>
          <w:rFonts w:hint="eastAsia" w:ascii="宋体" w:hAnsi="宋体" w:eastAsia="宋体"/>
          <w:szCs w:val="21"/>
          <w:lang w:val="en-US" w:eastAsia="zh-CN"/>
        </w:rPr>
        <w:t>投标</w:t>
      </w:r>
      <w:r>
        <w:rPr>
          <w:rFonts w:hint="eastAsia" w:ascii="宋体" w:hAnsi="宋体" w:eastAsia="宋体"/>
          <w:szCs w:val="21"/>
        </w:rPr>
        <w:t>价法</w:t>
      </w:r>
      <w:r>
        <w:rPr>
          <w:rFonts w:hint="eastAsia" w:ascii="宋体" w:hAnsi="宋体" w:eastAsia="宋体"/>
          <w:szCs w:val="21"/>
          <w:highlight w:val="none"/>
        </w:rPr>
        <w:t>。</w:t>
      </w:r>
    </w:p>
    <w:p>
      <w:pPr>
        <w:pageBreakBefore w:val="0"/>
        <w:widowControl w:val="0"/>
        <w:wordWrap/>
        <w:topLinePunct w:val="0"/>
        <w:autoSpaceDE/>
        <w:autoSpaceDN/>
        <w:bidi w:val="0"/>
        <w:adjustRightInd/>
        <w:snapToGrid/>
        <w:spacing w:line="360" w:lineRule="auto"/>
        <w:textAlignment w:val="auto"/>
        <w:rPr>
          <w:rFonts w:hint="default" w:ascii="宋体" w:hAnsi="宋体" w:eastAsia="宋体" w:cs="宋体"/>
          <w:bCs/>
          <w:lang w:val="en-US" w:eastAsia="zh-CN"/>
        </w:rPr>
      </w:pPr>
      <w:r>
        <w:rPr>
          <w:rFonts w:hint="eastAsia" w:ascii="宋体" w:hAnsi="宋体" w:eastAsia="宋体"/>
          <w:b/>
          <w:bCs/>
          <w:szCs w:val="21"/>
          <w:highlight w:val="none"/>
          <w:lang w:val="en-US" w:eastAsia="zh-CN"/>
        </w:rPr>
        <w:t>5、付款方式：</w:t>
      </w:r>
      <w:r>
        <w:rPr>
          <w:rFonts w:hint="eastAsia" w:ascii="宋体" w:hAnsi="宋体" w:cs="宋体"/>
          <w:szCs w:val="21"/>
        </w:rPr>
        <w:t>乙方根据甲方要求，完成</w:t>
      </w:r>
      <w:r>
        <w:rPr>
          <w:rFonts w:hint="eastAsia" w:ascii="宋体" w:hAnsi="宋体" w:cs="宋体"/>
          <w:lang w:val="en-US" w:eastAsia="zh-CN"/>
        </w:rPr>
        <w:t>红外测温系统安装项目工程</w:t>
      </w:r>
      <w:r>
        <w:rPr>
          <w:rFonts w:hint="eastAsia" w:ascii="宋体" w:hAnsi="宋体" w:cs="宋体"/>
          <w:szCs w:val="21"/>
        </w:rPr>
        <w:t>后，经甲方验收合格并共同</w:t>
      </w:r>
      <w:r>
        <w:rPr>
          <w:rFonts w:ascii="宋体" w:hAnsi="宋体" w:cs="宋体"/>
          <w:szCs w:val="21"/>
        </w:rPr>
        <w:t>签署</w:t>
      </w:r>
      <w:r>
        <w:rPr>
          <w:rFonts w:hint="eastAsia" w:ascii="宋体" w:hAnsi="宋体" w:cs="宋体"/>
          <w:szCs w:val="21"/>
        </w:rPr>
        <w:t>验收</w:t>
      </w:r>
      <w:r>
        <w:rPr>
          <w:rFonts w:ascii="宋体" w:hAnsi="宋体" w:cs="宋体"/>
          <w:szCs w:val="21"/>
        </w:rPr>
        <w:t>确认书（</w:t>
      </w:r>
      <w:r>
        <w:rPr>
          <w:rFonts w:hint="eastAsia" w:ascii="宋体" w:hAnsi="宋体" w:cs="宋体"/>
          <w:szCs w:val="21"/>
        </w:rPr>
        <w:t>详见</w:t>
      </w:r>
      <w:r>
        <w:rPr>
          <w:rFonts w:ascii="宋体" w:hAnsi="宋体" w:cs="宋体"/>
          <w:szCs w:val="21"/>
        </w:rPr>
        <w:t>附件</w:t>
      </w:r>
      <w:r>
        <w:rPr>
          <w:rFonts w:hint="eastAsia" w:ascii="宋体" w:hAnsi="宋体" w:cs="宋体"/>
          <w:szCs w:val="21"/>
        </w:rPr>
        <w:t>1）</w:t>
      </w:r>
      <w:r>
        <w:rPr>
          <w:rFonts w:hint="eastAsia" w:ascii="宋体" w:hAnsi="宋体" w:cs="宋体"/>
          <w:szCs w:val="21"/>
          <w:lang w:eastAsia="zh-CN"/>
        </w:rPr>
        <w:t>，</w:t>
      </w:r>
      <w:r>
        <w:rPr>
          <w:rFonts w:ascii="宋体" w:hAnsi="宋体" w:cs="宋体"/>
          <w:szCs w:val="21"/>
        </w:rPr>
        <w:t>甲方收到乙方提供的</w:t>
      </w:r>
      <w:r>
        <w:rPr>
          <w:rFonts w:hint="eastAsia" w:ascii="宋体" w:hAnsi="宋体" w:cs="宋体"/>
          <w:szCs w:val="21"/>
        </w:rPr>
        <w:t>全额</w:t>
      </w:r>
      <w:r>
        <w:rPr>
          <w:rFonts w:ascii="宋体" w:hAnsi="宋体" w:cs="宋体"/>
          <w:szCs w:val="21"/>
        </w:rPr>
        <w:t>增值税专用发票后，15</w:t>
      </w:r>
      <w:r>
        <w:rPr>
          <w:rFonts w:hint="eastAsia" w:ascii="宋体" w:hAnsi="宋体" w:cs="宋体"/>
          <w:szCs w:val="21"/>
        </w:rPr>
        <w:t>个工作日内支付总额的</w:t>
      </w:r>
      <w:r>
        <w:rPr>
          <w:rFonts w:hint="eastAsia" w:ascii="宋体" w:hAnsi="宋体" w:cs="宋体"/>
          <w:szCs w:val="21"/>
          <w:lang w:val="en-US" w:eastAsia="zh-CN"/>
        </w:rPr>
        <w:t>100</w:t>
      </w:r>
      <w:r>
        <w:rPr>
          <w:rFonts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质保期为期一年（一年如存在非人为因素产生的损坏由厂家负责维修）</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hint="default"/>
          <w:lang w:val="en-US" w:eastAsia="zh-CN"/>
        </w:rPr>
      </w:pPr>
      <w:r>
        <w:rPr>
          <w:rFonts w:hint="eastAsia" w:ascii="宋体" w:hAnsi="宋体" w:eastAsia="宋体"/>
          <w:b/>
          <w:szCs w:val="21"/>
        </w:rPr>
        <w:t>6、</w:t>
      </w:r>
      <w:r>
        <w:rPr>
          <w:rFonts w:hint="eastAsia" w:ascii="宋体" w:hAnsi="宋体" w:eastAsia="宋体"/>
          <w:b/>
          <w:szCs w:val="21"/>
          <w:lang w:val="en-US" w:eastAsia="zh-CN"/>
        </w:rPr>
        <w:t>工</w:t>
      </w:r>
      <w:r>
        <w:rPr>
          <w:rFonts w:hint="eastAsia" w:ascii="宋体" w:hAnsi="宋体" w:eastAsia="宋体"/>
          <w:b/>
          <w:szCs w:val="21"/>
        </w:rPr>
        <w:t>期：</w:t>
      </w:r>
      <w:r>
        <w:rPr>
          <w:rFonts w:hint="eastAsia" w:ascii="宋体" w:hAnsi="宋体" w:eastAsia="宋体"/>
          <w:szCs w:val="21"/>
        </w:rPr>
        <w:t>自合同签订</w:t>
      </w:r>
      <w:r>
        <w:rPr>
          <w:rFonts w:hint="eastAsia" w:ascii="宋体" w:hAnsi="宋体"/>
          <w:szCs w:val="21"/>
          <w:lang w:val="en-US" w:eastAsia="zh-CN"/>
        </w:rPr>
        <w:t>之</w:t>
      </w:r>
      <w:r>
        <w:rPr>
          <w:rFonts w:hint="eastAsia" w:ascii="宋体" w:hAnsi="宋体" w:eastAsia="宋体"/>
          <w:szCs w:val="21"/>
        </w:rPr>
        <w:t>日起</w:t>
      </w:r>
      <w:r>
        <w:rPr>
          <w:rFonts w:hint="eastAsia" w:ascii="宋体" w:hAnsi="宋体" w:eastAsia="宋体"/>
          <w:szCs w:val="21"/>
          <w:lang w:val="en-US" w:eastAsia="zh-CN"/>
        </w:rPr>
        <w:t>20</w:t>
      </w:r>
      <w:r>
        <w:rPr>
          <w:rFonts w:hint="eastAsia" w:ascii="宋体" w:hAnsi="宋体"/>
          <w:szCs w:val="21"/>
          <w:lang w:val="en-US" w:eastAsia="zh-CN"/>
        </w:rPr>
        <w:t>个日历天</w:t>
      </w:r>
      <w:r>
        <w:rPr>
          <w:rFonts w:hint="eastAsia" w:ascii="宋体" w:hAnsi="宋体" w:eastAsia="宋体"/>
          <w:szCs w:val="21"/>
          <w:lang w:val="en-US" w:eastAsia="zh-CN"/>
        </w:rPr>
        <w:t>（包含设备采购周期）</w:t>
      </w:r>
      <w:r>
        <w:rPr>
          <w:rFonts w:hint="eastAsia" w:ascii="宋体" w:hAnsi="宋体" w:eastAsia="宋体"/>
          <w:szCs w:val="21"/>
        </w:rPr>
        <w:t>。</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hint="eastAsia" w:ascii="宋体" w:hAnsi="宋体" w:eastAsia="宋体"/>
          <w:b w:val="0"/>
          <w:bCs/>
          <w:szCs w:val="21"/>
        </w:rPr>
      </w:pPr>
      <w:r>
        <w:rPr>
          <w:rFonts w:hint="eastAsia" w:ascii="宋体" w:hAnsi="宋体" w:eastAsia="宋体"/>
          <w:b/>
          <w:szCs w:val="21"/>
        </w:rPr>
        <w:t>7、</w:t>
      </w:r>
      <w:r>
        <w:rPr>
          <w:rFonts w:hint="eastAsia" w:ascii="宋体" w:hAnsi="宋体" w:eastAsia="宋体"/>
          <w:b/>
          <w:szCs w:val="21"/>
          <w:lang w:val="en-US" w:eastAsia="zh-CN"/>
        </w:rPr>
        <w:t>施工</w:t>
      </w:r>
      <w:r>
        <w:rPr>
          <w:rFonts w:hint="eastAsia" w:ascii="宋体" w:hAnsi="宋体" w:eastAsia="宋体"/>
          <w:b/>
          <w:szCs w:val="21"/>
        </w:rPr>
        <w:t>地点：</w:t>
      </w:r>
      <w:r>
        <w:rPr>
          <w:rFonts w:hint="eastAsia" w:ascii="宋体" w:hAnsi="宋体"/>
          <w:b w:val="0"/>
          <w:bCs/>
          <w:szCs w:val="21"/>
          <w:lang w:eastAsia="zh-CN"/>
        </w:rPr>
        <w:t>嘉兴市乍浦港区怡海路一号</w:t>
      </w:r>
      <w:r>
        <w:rPr>
          <w:rFonts w:hint="eastAsia" w:ascii="宋体" w:hAnsi="宋体" w:eastAsia="宋体"/>
          <w:b w:val="0"/>
          <w:bCs/>
          <w:szCs w:val="21"/>
        </w:rPr>
        <w:t>，</w:t>
      </w:r>
      <w:r>
        <w:rPr>
          <w:rFonts w:hint="eastAsia" w:ascii="宋体" w:hAnsi="宋体"/>
          <w:b w:val="0"/>
          <w:bCs/>
          <w:szCs w:val="21"/>
          <w:lang w:eastAsia="zh-CN"/>
        </w:rPr>
        <w:t>嘉兴杭州湾石油化工物流有限公司</w:t>
      </w:r>
      <w:r>
        <w:rPr>
          <w:rFonts w:hint="eastAsia" w:ascii="宋体" w:hAnsi="宋体" w:eastAsia="宋体"/>
          <w:b w:val="0"/>
          <w:bCs/>
          <w:szCs w:val="21"/>
        </w:rPr>
        <w:t>。</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ascii="宋体" w:hAnsi="宋体" w:eastAsia="宋体"/>
          <w:b/>
          <w:szCs w:val="21"/>
        </w:rPr>
      </w:pPr>
      <w:r>
        <w:rPr>
          <w:rFonts w:ascii="宋体" w:hAnsi="宋体" w:eastAsia="宋体"/>
          <w:b/>
          <w:szCs w:val="21"/>
        </w:rPr>
        <w:t>8</w:t>
      </w:r>
      <w:r>
        <w:rPr>
          <w:rFonts w:hint="eastAsia" w:ascii="宋体" w:hAnsi="宋体" w:eastAsia="宋体"/>
          <w:b/>
          <w:szCs w:val="21"/>
        </w:rPr>
        <w:t>、询价</w:t>
      </w:r>
      <w:r>
        <w:rPr>
          <w:rFonts w:hint="eastAsia" w:ascii="宋体" w:hAnsi="宋体" w:eastAsia="宋体" w:cs="Times New Roman"/>
          <w:b/>
          <w:bCs/>
          <w:szCs w:val="21"/>
        </w:rPr>
        <w:t>文件</w:t>
      </w:r>
      <w:r>
        <w:rPr>
          <w:rFonts w:hint="eastAsia" w:ascii="宋体" w:hAnsi="宋体" w:eastAsia="宋体"/>
          <w:b/>
          <w:szCs w:val="21"/>
        </w:rPr>
        <w:t>获取和报价截止时间、地点</w:t>
      </w:r>
    </w:p>
    <w:p>
      <w:pPr>
        <w:pageBreakBefore w:val="0"/>
        <w:widowControl w:val="0"/>
        <w:wordWrap/>
        <w:topLinePunct w:val="0"/>
        <w:autoSpaceDE/>
        <w:autoSpaceDN/>
        <w:bidi w:val="0"/>
        <w:adjustRightInd/>
        <w:snapToGrid/>
        <w:spacing w:line="360" w:lineRule="auto"/>
        <w:ind w:firstLine="420" w:firstLineChars="200"/>
        <w:textAlignment w:val="auto"/>
        <w:rPr>
          <w:rFonts w:ascii="宋体" w:hAnsi="宋体" w:eastAsia="宋体"/>
          <w:szCs w:val="21"/>
        </w:rPr>
      </w:pPr>
      <w:r>
        <w:rPr>
          <w:rFonts w:hint="eastAsia" w:ascii="宋体" w:hAnsi="宋体" w:eastAsia="宋体"/>
          <w:szCs w:val="21"/>
        </w:rPr>
        <w:t>下载询价文件及投递截止时间：</w:t>
      </w:r>
      <w:r>
        <w:rPr>
          <w:rFonts w:ascii="宋体" w:hAnsi="宋体" w:eastAsia="宋体"/>
          <w:b/>
          <w:szCs w:val="21"/>
          <w:u w:val="single"/>
        </w:rPr>
        <w:t>2020</w:t>
      </w:r>
      <w:r>
        <w:rPr>
          <w:rFonts w:hint="eastAsia" w:ascii="宋体" w:hAnsi="宋体" w:eastAsia="宋体"/>
          <w:b/>
          <w:szCs w:val="21"/>
          <w:u w:val="single"/>
        </w:rPr>
        <w:t>年</w:t>
      </w:r>
      <w:r>
        <w:rPr>
          <w:rFonts w:hint="eastAsia" w:ascii="宋体" w:hAnsi="宋体"/>
          <w:b/>
          <w:szCs w:val="21"/>
          <w:u w:val="single"/>
          <w:lang w:val="en-US" w:eastAsia="zh-CN"/>
        </w:rPr>
        <w:t>11</w:t>
      </w:r>
      <w:r>
        <w:rPr>
          <w:rFonts w:hint="eastAsia" w:ascii="宋体" w:hAnsi="宋体" w:eastAsia="宋体"/>
          <w:b/>
          <w:szCs w:val="21"/>
          <w:u w:val="single"/>
        </w:rPr>
        <w:t>月</w:t>
      </w:r>
      <w:r>
        <w:rPr>
          <w:rFonts w:hint="eastAsia" w:ascii="宋体" w:hAnsi="宋体" w:eastAsia="宋体"/>
          <w:b/>
          <w:szCs w:val="21"/>
          <w:highlight w:val="none"/>
          <w:u w:val="single"/>
          <w:lang w:val="en-US" w:eastAsia="zh-CN"/>
        </w:rPr>
        <w:t xml:space="preserve"> </w:t>
      </w:r>
      <w:r>
        <w:rPr>
          <w:rFonts w:hint="eastAsia" w:ascii="宋体" w:hAnsi="宋体"/>
          <w:b/>
          <w:szCs w:val="21"/>
          <w:highlight w:val="none"/>
          <w:u w:val="single"/>
          <w:lang w:val="en-US" w:eastAsia="zh-CN"/>
        </w:rPr>
        <w:t>30</w:t>
      </w:r>
      <w:r>
        <w:rPr>
          <w:rFonts w:hint="eastAsia" w:ascii="宋体" w:hAnsi="宋体" w:eastAsia="宋体"/>
          <w:b/>
          <w:szCs w:val="21"/>
          <w:highlight w:val="none"/>
          <w:u w:val="single"/>
          <w:lang w:val="en-US" w:eastAsia="zh-CN"/>
        </w:rPr>
        <w:t xml:space="preserve"> </w:t>
      </w:r>
      <w:r>
        <w:rPr>
          <w:rFonts w:hint="eastAsia" w:ascii="宋体" w:hAnsi="宋体" w:eastAsia="宋体"/>
          <w:b/>
          <w:szCs w:val="21"/>
          <w:u w:val="single"/>
        </w:rPr>
        <w:t>日-</w:t>
      </w:r>
      <w:r>
        <w:rPr>
          <w:rFonts w:hint="eastAsia" w:ascii="宋体" w:hAnsi="宋体" w:eastAsia="宋体"/>
          <w:b/>
          <w:szCs w:val="21"/>
          <w:highlight w:val="none"/>
          <w:u w:val="single"/>
          <w:lang w:val="en-US" w:eastAsia="zh-CN"/>
        </w:rPr>
        <w:t xml:space="preserve"> </w:t>
      </w:r>
      <w:r>
        <w:rPr>
          <w:rFonts w:hint="eastAsia" w:ascii="宋体" w:hAnsi="宋体"/>
          <w:b/>
          <w:szCs w:val="21"/>
          <w:highlight w:val="none"/>
          <w:u w:val="single"/>
          <w:lang w:val="en-US" w:eastAsia="zh-CN"/>
        </w:rPr>
        <w:t>12</w:t>
      </w:r>
      <w:r>
        <w:rPr>
          <w:rFonts w:hint="eastAsia" w:ascii="宋体" w:hAnsi="宋体" w:eastAsia="宋体"/>
          <w:b/>
          <w:szCs w:val="21"/>
          <w:highlight w:val="none"/>
          <w:u w:val="single"/>
          <w:lang w:val="en-US" w:eastAsia="zh-CN"/>
        </w:rPr>
        <w:t xml:space="preserve"> </w:t>
      </w:r>
      <w:r>
        <w:rPr>
          <w:rFonts w:hint="eastAsia" w:ascii="宋体" w:hAnsi="宋体" w:eastAsia="宋体"/>
          <w:b/>
          <w:szCs w:val="21"/>
          <w:u w:val="single"/>
        </w:rPr>
        <w:t>月</w:t>
      </w:r>
      <w:r>
        <w:rPr>
          <w:rFonts w:hint="eastAsia" w:ascii="宋体" w:hAnsi="宋体"/>
          <w:b/>
          <w:szCs w:val="21"/>
          <w:highlight w:val="none"/>
          <w:u w:val="single"/>
          <w:lang w:val="en-US" w:eastAsia="zh-CN"/>
        </w:rPr>
        <w:t>7</w:t>
      </w:r>
      <w:r>
        <w:rPr>
          <w:rFonts w:hint="eastAsia" w:ascii="宋体" w:hAnsi="宋体" w:eastAsia="宋体"/>
          <w:b/>
          <w:szCs w:val="21"/>
          <w:u w:val="single"/>
        </w:rPr>
        <w:t>日</w:t>
      </w:r>
      <w:r>
        <w:rPr>
          <w:rFonts w:hint="eastAsia" w:ascii="宋体" w:hAnsi="宋体" w:eastAsia="宋体"/>
          <w:b/>
          <w:szCs w:val="21"/>
          <w:u w:val="single"/>
          <w:lang w:val="en-US" w:eastAsia="zh-CN"/>
        </w:rPr>
        <w:t>13</w:t>
      </w:r>
      <w:r>
        <w:rPr>
          <w:rFonts w:hint="eastAsia" w:ascii="宋体" w:hAnsi="宋体" w:eastAsia="宋体"/>
          <w:b/>
          <w:szCs w:val="21"/>
          <w:u w:val="single"/>
        </w:rPr>
        <w:t>时</w:t>
      </w:r>
      <w:r>
        <w:rPr>
          <w:rFonts w:hint="eastAsia" w:ascii="宋体" w:hAnsi="宋体" w:eastAsia="宋体"/>
          <w:szCs w:val="21"/>
        </w:rPr>
        <w:t>；</w:t>
      </w:r>
    </w:p>
    <w:p>
      <w:pPr>
        <w:pageBreakBefore w:val="0"/>
        <w:widowControl w:val="0"/>
        <w:wordWrap/>
        <w:topLinePunct w:val="0"/>
        <w:autoSpaceDE/>
        <w:autoSpaceDN/>
        <w:bidi w:val="0"/>
        <w:adjustRightInd/>
        <w:snapToGrid/>
        <w:spacing w:line="360" w:lineRule="auto"/>
        <w:ind w:firstLine="420" w:firstLineChars="200"/>
        <w:jc w:val="left"/>
        <w:textAlignment w:val="auto"/>
        <w:rPr>
          <w:rFonts w:ascii="宋体" w:hAnsi="宋体" w:eastAsia="宋体"/>
          <w:szCs w:val="21"/>
        </w:rPr>
      </w:pPr>
      <w:r>
        <w:rPr>
          <w:rFonts w:hint="eastAsia" w:ascii="宋体" w:hAnsi="宋体" w:eastAsia="宋体"/>
          <w:szCs w:val="21"/>
        </w:rPr>
        <w:t>下载地址：</w:t>
      </w:r>
      <w:r>
        <w:rPr>
          <w:rFonts w:hint="eastAsia"/>
        </w:rPr>
        <w:t>浙江省海港集团、宁波舟山港集团网阳光工程栏-基层专栏-基层招标公告（</w:t>
      </w:r>
      <w:r>
        <w:t>http://www.zjseaport.com/jtww/yggc/jczl-zbgg/</w:t>
      </w:r>
      <w:r>
        <w:rPr>
          <w:rFonts w:hint="eastAsia"/>
        </w:rPr>
        <w:t>）自</w:t>
      </w:r>
      <w:r>
        <w:t>行下载</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ascii="宋体" w:hAnsi="宋体" w:eastAsia="宋体"/>
          <w:b/>
          <w:szCs w:val="21"/>
        </w:rPr>
      </w:pPr>
      <w:r>
        <w:rPr>
          <w:rFonts w:ascii="宋体" w:hAnsi="宋体" w:eastAsia="宋体"/>
          <w:b/>
          <w:szCs w:val="21"/>
        </w:rPr>
        <w:t>9</w:t>
      </w:r>
      <w:r>
        <w:rPr>
          <w:rFonts w:hint="eastAsia" w:ascii="宋体" w:hAnsi="宋体" w:eastAsia="宋体"/>
          <w:b/>
          <w:szCs w:val="21"/>
        </w:rPr>
        <w:t>、开标</w:t>
      </w:r>
      <w:r>
        <w:rPr>
          <w:rFonts w:hint="eastAsia" w:ascii="宋体" w:hAnsi="宋体" w:eastAsia="宋体" w:cs="Times New Roman"/>
          <w:b/>
          <w:bCs/>
          <w:szCs w:val="21"/>
        </w:rPr>
        <w:t>时间</w:t>
      </w:r>
      <w:r>
        <w:rPr>
          <w:rFonts w:hint="eastAsia" w:ascii="宋体" w:hAnsi="宋体" w:eastAsia="宋体"/>
          <w:b/>
          <w:szCs w:val="21"/>
        </w:rPr>
        <w:t>、地点</w:t>
      </w:r>
    </w:p>
    <w:p>
      <w:pPr>
        <w:pageBreakBefore w:val="0"/>
        <w:widowControl w:val="0"/>
        <w:wordWrap/>
        <w:topLinePunct w:val="0"/>
        <w:autoSpaceDE/>
        <w:autoSpaceDN/>
        <w:bidi w:val="0"/>
        <w:adjustRightInd/>
        <w:snapToGrid/>
        <w:spacing w:line="360" w:lineRule="auto"/>
        <w:ind w:firstLine="420" w:firstLineChars="200"/>
        <w:jc w:val="left"/>
        <w:textAlignment w:val="auto"/>
        <w:rPr>
          <w:rFonts w:ascii="宋体" w:hAnsi="宋体" w:eastAsia="宋体"/>
          <w:szCs w:val="21"/>
        </w:rPr>
      </w:pPr>
      <w:r>
        <w:rPr>
          <w:rFonts w:hint="eastAsia" w:ascii="宋体" w:hAnsi="宋体" w:eastAsia="宋体"/>
          <w:szCs w:val="21"/>
        </w:rPr>
        <w:t>本次询比价将在报价截止时间后择日开标。</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ascii="宋体" w:hAnsi="宋体" w:eastAsia="宋体"/>
          <w:b/>
          <w:szCs w:val="21"/>
        </w:rPr>
      </w:pPr>
      <w:r>
        <w:rPr>
          <w:rFonts w:hint="eastAsia" w:ascii="宋体" w:hAnsi="宋体" w:eastAsia="宋体"/>
          <w:b/>
          <w:szCs w:val="21"/>
        </w:rPr>
        <w:t>1</w:t>
      </w:r>
      <w:r>
        <w:rPr>
          <w:rFonts w:ascii="宋体" w:hAnsi="宋体" w:eastAsia="宋体"/>
          <w:b/>
          <w:szCs w:val="21"/>
        </w:rPr>
        <w:t>0</w:t>
      </w:r>
      <w:r>
        <w:rPr>
          <w:rFonts w:hint="eastAsia" w:ascii="宋体" w:hAnsi="宋体" w:eastAsia="宋体"/>
          <w:b/>
          <w:szCs w:val="21"/>
        </w:rPr>
        <w:t>、中标</w:t>
      </w:r>
      <w:r>
        <w:rPr>
          <w:rFonts w:hint="eastAsia" w:ascii="宋体" w:hAnsi="宋体" w:eastAsia="宋体" w:cs="Times New Roman"/>
          <w:b/>
          <w:bCs/>
          <w:szCs w:val="21"/>
        </w:rPr>
        <w:t>候选人</w:t>
      </w:r>
      <w:r>
        <w:rPr>
          <w:rFonts w:hint="eastAsia" w:ascii="宋体" w:hAnsi="宋体" w:eastAsia="宋体"/>
          <w:b/>
          <w:szCs w:val="21"/>
        </w:rPr>
        <w:t>公示</w:t>
      </w:r>
    </w:p>
    <w:p>
      <w:pPr>
        <w:pageBreakBefore w:val="0"/>
        <w:widowControl w:val="0"/>
        <w:kinsoku w:val="0"/>
        <w:wordWrap/>
        <w:overflowPunct w:val="0"/>
        <w:topLinePunct w:val="0"/>
        <w:autoSpaceDE/>
        <w:autoSpaceDN/>
        <w:bidi w:val="0"/>
        <w:adjustRightInd/>
        <w:snapToGrid/>
        <w:spacing w:line="360" w:lineRule="auto"/>
        <w:ind w:firstLine="420" w:firstLineChars="200"/>
        <w:jc w:val="left"/>
        <w:textAlignment w:val="auto"/>
        <w:outlineLvl w:val="3"/>
        <w:rPr>
          <w:rFonts w:hint="eastAsia" w:eastAsiaTheme="minorEastAsia"/>
          <w:lang w:eastAsia="zh-CN"/>
        </w:rPr>
      </w:pPr>
      <w:r>
        <w:rPr>
          <w:rFonts w:hint="eastAsia"/>
        </w:rPr>
        <w:t>中标候选人将在</w:t>
      </w:r>
      <w:r>
        <w:fldChar w:fldCharType="begin"/>
      </w:r>
      <w:r>
        <w:instrText xml:space="preserve"> HYPERLINK "file:///E:\\招投标工作\\范本\\招标文件示范文本\\宁波舟山港集团有限公司阳光工程网（http:\\www.portnbzs.com.cn\\SunshineProject\\tender.html" </w:instrText>
      </w:r>
      <w:r>
        <w:fldChar w:fldCharType="separate"/>
      </w:r>
      <w:r>
        <w:rPr>
          <w:rFonts w:hint="eastAsia"/>
        </w:rPr>
        <w:t>浙江省海港集团、宁波舟山港集团网阳光工程栏-基层专栏-基层招标公告（</w:t>
      </w:r>
      <w:r>
        <w:t>http://www.zjseaport.com/jtww/yggc/jczl-zbgs/</w:t>
      </w:r>
      <w:r>
        <w:fldChar w:fldCharType="end"/>
      </w:r>
      <w:r>
        <w:rPr>
          <w:rFonts w:hint="eastAsia"/>
        </w:rPr>
        <w:t>）</w:t>
      </w:r>
      <w:r>
        <w:t>上</w:t>
      </w:r>
      <w:r>
        <w:rPr>
          <w:rFonts w:hint="eastAsia"/>
        </w:rPr>
        <w:t>公示三天</w:t>
      </w:r>
      <w:r>
        <w:rPr>
          <w:rFonts w:hint="eastAsia"/>
          <w:lang w:eastAsia="zh-CN"/>
        </w:rPr>
        <w:t>。</w:t>
      </w:r>
    </w:p>
    <w:p>
      <w:pPr>
        <w:pageBreakBefore w:val="0"/>
        <w:widowControl w:val="0"/>
        <w:kinsoku w:val="0"/>
        <w:wordWrap/>
        <w:overflowPunct w:val="0"/>
        <w:topLinePunct w:val="0"/>
        <w:autoSpaceDE/>
        <w:autoSpaceDN/>
        <w:bidi w:val="0"/>
        <w:adjustRightInd/>
        <w:snapToGrid/>
        <w:spacing w:line="360" w:lineRule="auto"/>
        <w:jc w:val="left"/>
        <w:textAlignment w:val="auto"/>
        <w:outlineLvl w:val="3"/>
        <w:rPr>
          <w:rFonts w:ascii="宋体" w:hAnsi="宋体" w:eastAsia="宋体"/>
          <w:b/>
          <w:szCs w:val="21"/>
        </w:rPr>
      </w:pPr>
      <w:r>
        <w:rPr>
          <w:rFonts w:hint="eastAsia" w:ascii="宋体" w:hAnsi="宋体" w:eastAsia="宋体"/>
          <w:b/>
          <w:szCs w:val="21"/>
        </w:rPr>
        <w:t>1</w:t>
      </w:r>
      <w:r>
        <w:rPr>
          <w:rFonts w:ascii="宋体" w:hAnsi="宋体" w:eastAsia="宋体"/>
          <w:b/>
          <w:szCs w:val="21"/>
        </w:rPr>
        <w:t>1</w:t>
      </w:r>
      <w:r>
        <w:rPr>
          <w:rFonts w:hint="eastAsia" w:ascii="宋体" w:hAnsi="宋体" w:eastAsia="宋体"/>
          <w:b/>
          <w:szCs w:val="21"/>
        </w:rPr>
        <w:t>、报价</w:t>
      </w:r>
      <w:r>
        <w:rPr>
          <w:rFonts w:hint="eastAsia" w:ascii="宋体" w:hAnsi="宋体" w:eastAsia="宋体" w:cs="Times New Roman"/>
          <w:b/>
          <w:bCs/>
          <w:szCs w:val="21"/>
        </w:rPr>
        <w:t>文件</w:t>
      </w:r>
      <w:r>
        <w:rPr>
          <w:rFonts w:hint="eastAsia" w:ascii="宋体" w:hAnsi="宋体" w:eastAsia="宋体"/>
          <w:b/>
          <w:szCs w:val="21"/>
        </w:rPr>
        <w:t>投递要求</w:t>
      </w:r>
    </w:p>
    <w:p>
      <w:pPr>
        <w:pageBreakBefore w:val="0"/>
        <w:widowControl w:val="0"/>
        <w:wordWrap/>
        <w:topLinePunct w:val="0"/>
        <w:autoSpaceDE/>
        <w:autoSpaceDN/>
        <w:bidi w:val="0"/>
        <w:adjustRightInd/>
        <w:snapToGrid/>
        <w:spacing w:line="360" w:lineRule="auto"/>
        <w:ind w:firstLine="420" w:firstLineChars="200"/>
        <w:jc w:val="left"/>
        <w:textAlignment w:val="auto"/>
        <w:rPr>
          <w:rFonts w:ascii="宋体" w:hAnsi="宋体" w:eastAsia="宋体"/>
          <w:szCs w:val="21"/>
        </w:rPr>
      </w:pPr>
      <w:r>
        <w:rPr>
          <w:rFonts w:hint="eastAsia" w:ascii="宋体" w:hAnsi="宋体" w:eastAsia="宋体"/>
          <w:szCs w:val="21"/>
        </w:rPr>
        <w:t>1、报价人应当在询价人要求提交报价文件的截止时间前，将报价文件密封送达到指定地点，报价文件封套上须写明</w:t>
      </w:r>
      <w:r>
        <w:rPr>
          <w:rFonts w:hint="eastAsia" w:ascii="宋体" w:hAnsi="宋体" w:eastAsia="宋体"/>
          <w:b/>
          <w:szCs w:val="21"/>
        </w:rPr>
        <w:t>报价人地址、报价人名称、</w:t>
      </w:r>
      <w:r>
        <w:rPr>
          <w:rFonts w:hint="eastAsia" w:ascii="宋体" w:hAnsi="宋体" w:eastAsia="宋体"/>
          <w:b/>
          <w:szCs w:val="21"/>
          <w:u w:val="single"/>
        </w:rPr>
        <w:t>在</w:t>
      </w:r>
      <w:r>
        <w:rPr>
          <w:rFonts w:hint="eastAsia" w:ascii="宋体" w:hAnsi="宋体" w:eastAsia="宋体"/>
          <w:b/>
          <w:szCs w:val="21"/>
          <w:u w:val="single"/>
          <w:lang w:val="en-US" w:eastAsia="zh-CN"/>
        </w:rPr>
        <w:t>2021</w:t>
      </w:r>
      <w:r>
        <w:rPr>
          <w:rFonts w:hint="eastAsia" w:ascii="宋体" w:hAnsi="宋体" w:eastAsia="宋体"/>
          <w:b/>
          <w:szCs w:val="21"/>
          <w:u w:val="single"/>
        </w:rPr>
        <w:t>年</w:t>
      </w:r>
      <w:r>
        <w:rPr>
          <w:rFonts w:hint="eastAsia" w:ascii="宋体" w:hAnsi="宋体" w:eastAsia="宋体"/>
          <w:b/>
          <w:szCs w:val="21"/>
          <w:highlight w:val="none"/>
          <w:u w:val="single"/>
          <w:lang w:val="en-US" w:eastAsia="zh-CN"/>
        </w:rPr>
        <w:t xml:space="preserve"> </w:t>
      </w:r>
      <w:r>
        <w:rPr>
          <w:rFonts w:hint="eastAsia" w:ascii="宋体" w:hAnsi="宋体"/>
          <w:b/>
          <w:szCs w:val="21"/>
          <w:highlight w:val="none"/>
          <w:u w:val="single"/>
          <w:lang w:val="en-US" w:eastAsia="zh-CN"/>
        </w:rPr>
        <w:t>12</w:t>
      </w:r>
      <w:r>
        <w:rPr>
          <w:rFonts w:hint="eastAsia" w:ascii="宋体" w:hAnsi="宋体" w:eastAsia="宋体"/>
          <w:b/>
          <w:szCs w:val="21"/>
          <w:highlight w:val="none"/>
          <w:u w:val="single"/>
          <w:lang w:val="en-US" w:eastAsia="zh-CN"/>
        </w:rPr>
        <w:t xml:space="preserve"> </w:t>
      </w:r>
      <w:r>
        <w:rPr>
          <w:rFonts w:hint="eastAsia" w:ascii="宋体" w:hAnsi="宋体" w:eastAsia="宋体"/>
          <w:b/>
          <w:szCs w:val="21"/>
          <w:u w:val="single"/>
        </w:rPr>
        <w:t>月</w:t>
      </w:r>
      <w:r>
        <w:rPr>
          <w:rFonts w:hint="eastAsia" w:ascii="宋体" w:hAnsi="宋体" w:eastAsia="宋体"/>
          <w:b/>
          <w:szCs w:val="21"/>
          <w:highlight w:val="none"/>
          <w:u w:val="single"/>
          <w:lang w:val="en-US" w:eastAsia="zh-CN"/>
        </w:rPr>
        <w:t xml:space="preserve"> </w:t>
      </w:r>
      <w:r>
        <w:rPr>
          <w:rFonts w:hint="eastAsia" w:ascii="宋体" w:hAnsi="宋体"/>
          <w:b/>
          <w:szCs w:val="21"/>
          <w:highlight w:val="none"/>
          <w:u w:val="single"/>
          <w:lang w:val="en-US" w:eastAsia="zh-CN"/>
        </w:rPr>
        <w:t>7</w:t>
      </w:r>
      <w:r>
        <w:rPr>
          <w:rFonts w:hint="eastAsia" w:ascii="宋体" w:hAnsi="宋体" w:eastAsia="宋体"/>
          <w:b/>
          <w:szCs w:val="21"/>
          <w:highlight w:val="none"/>
          <w:u w:val="single"/>
          <w:lang w:val="en-US" w:eastAsia="zh-CN"/>
        </w:rPr>
        <w:t xml:space="preserve"> </w:t>
      </w:r>
      <w:r>
        <w:rPr>
          <w:rFonts w:hint="eastAsia" w:ascii="宋体" w:hAnsi="宋体" w:eastAsia="宋体"/>
          <w:b/>
          <w:szCs w:val="21"/>
          <w:u w:val="single"/>
        </w:rPr>
        <w:t>日</w:t>
      </w:r>
      <w:r>
        <w:rPr>
          <w:rFonts w:hint="eastAsia" w:ascii="宋体" w:hAnsi="宋体" w:eastAsia="宋体"/>
          <w:szCs w:val="21"/>
        </w:rPr>
        <w:t>前不得开启字样。</w:t>
      </w:r>
    </w:p>
    <w:p>
      <w:pPr>
        <w:pageBreakBefore w:val="0"/>
        <w:widowControl w:val="0"/>
        <w:wordWrap/>
        <w:topLinePunct w:val="0"/>
        <w:autoSpaceDE/>
        <w:autoSpaceDN/>
        <w:bidi w:val="0"/>
        <w:adjustRightInd/>
        <w:snapToGrid/>
        <w:spacing w:line="360" w:lineRule="auto"/>
        <w:ind w:firstLine="420" w:firstLineChars="200"/>
        <w:jc w:val="left"/>
        <w:textAlignment w:val="auto"/>
        <w:rPr>
          <w:rFonts w:ascii="宋体" w:hAnsi="宋体" w:eastAsia="宋体"/>
          <w:szCs w:val="21"/>
        </w:rPr>
      </w:pPr>
      <w:r>
        <w:rPr>
          <w:rFonts w:hint="eastAsia" w:ascii="宋体" w:hAnsi="宋体" w:eastAsia="宋体"/>
          <w:szCs w:val="21"/>
        </w:rPr>
        <w:t>2、报价文件送达询价人处，一经签字确认后不得随意撤回报价文件。</w:t>
      </w:r>
    </w:p>
    <w:p>
      <w:pPr>
        <w:spacing w:line="360" w:lineRule="auto"/>
        <w:jc w:val="left"/>
        <w:rPr>
          <w:rFonts w:ascii="宋体" w:hAnsi="宋体" w:eastAsia="宋体"/>
          <w:b/>
          <w:szCs w:val="21"/>
        </w:rPr>
      </w:pPr>
      <w:r>
        <w:rPr>
          <w:rFonts w:hint="eastAsia" w:ascii="宋体" w:hAnsi="宋体" w:eastAsia="宋体"/>
          <w:b/>
          <w:szCs w:val="21"/>
        </w:rPr>
        <w:t>1</w:t>
      </w:r>
      <w:r>
        <w:rPr>
          <w:rFonts w:hint="eastAsia" w:ascii="宋体" w:hAnsi="宋体" w:eastAsia="宋体"/>
          <w:b/>
          <w:szCs w:val="21"/>
          <w:lang w:val="en-US" w:eastAsia="zh-CN"/>
        </w:rPr>
        <w:t>2</w:t>
      </w:r>
      <w:r>
        <w:rPr>
          <w:rFonts w:hint="eastAsia" w:ascii="宋体" w:hAnsi="宋体" w:eastAsia="宋体"/>
          <w:b/>
          <w:szCs w:val="21"/>
        </w:rPr>
        <w:t>、投递地点</w:t>
      </w:r>
    </w:p>
    <w:p>
      <w:pPr>
        <w:spacing w:line="360" w:lineRule="auto"/>
        <w:ind w:firstLine="420" w:firstLineChars="200"/>
        <w:jc w:val="left"/>
        <w:rPr>
          <w:rFonts w:hint="eastAsia" w:ascii="宋体" w:hAnsi="宋体" w:cs="宋体"/>
          <w:kern w:val="0"/>
        </w:rPr>
      </w:pPr>
      <w:r>
        <w:rPr>
          <w:rFonts w:hint="eastAsia" w:ascii="宋体" w:hAnsi="宋体" w:eastAsia="宋体"/>
          <w:szCs w:val="21"/>
        </w:rPr>
        <w:t>1.报价文件递交地点为嘉兴市乍浦镇嘉兴港区三期怡海路一号嘉兴杭州湾石油化工物流有限公司（三江浩嘉高分子南侧）</w:t>
      </w:r>
      <w:r>
        <w:rPr>
          <w:rFonts w:hint="eastAsia" w:ascii="宋体" w:hAnsi="宋体" w:cs="宋体"/>
          <w:kern w:val="0"/>
          <w:lang w:val="en-US" w:eastAsia="zh-CN"/>
        </w:rPr>
        <w:t>308室姜鑫燚收</w:t>
      </w:r>
      <w:r>
        <w:rPr>
          <w:rFonts w:hint="eastAsia" w:ascii="宋体" w:hAnsi="宋体" w:eastAsia="宋体"/>
          <w:szCs w:val="21"/>
        </w:rPr>
        <w:t>，电话</w:t>
      </w:r>
      <w:r>
        <w:rPr>
          <w:rFonts w:hint="eastAsia" w:ascii="宋体" w:hAnsi="宋体" w:eastAsia="宋体"/>
          <w:szCs w:val="21"/>
          <w:lang w:val="en-US" w:eastAsia="zh-CN"/>
        </w:rPr>
        <w:t>0573-85529384</w:t>
      </w:r>
      <w:r>
        <w:rPr>
          <w:rFonts w:hint="eastAsia" w:ascii="宋体" w:hAnsi="宋体" w:cs="宋体"/>
          <w:kern w:val="0"/>
        </w:rPr>
        <w:t>。</w:t>
      </w:r>
    </w:p>
    <w:p>
      <w:pPr>
        <w:spacing w:line="360" w:lineRule="auto"/>
        <w:ind w:firstLine="420" w:firstLineChars="200"/>
        <w:jc w:val="left"/>
        <w:rPr>
          <w:rFonts w:ascii="宋体" w:hAnsi="宋体" w:eastAsia="宋体"/>
          <w:szCs w:val="21"/>
        </w:rPr>
      </w:pPr>
      <w:r>
        <w:rPr>
          <w:rFonts w:hint="eastAsia" w:ascii="宋体" w:hAnsi="宋体" w:eastAsia="宋体"/>
          <w:szCs w:val="21"/>
        </w:rPr>
        <w:t>2.逾期送达的或者未送达指定地点的投标文件，询价人不予受理。</w:t>
      </w:r>
    </w:p>
    <w:p>
      <w:pPr>
        <w:kinsoku w:val="0"/>
        <w:overflowPunct w:val="0"/>
        <w:spacing w:line="360" w:lineRule="auto"/>
        <w:jc w:val="left"/>
        <w:outlineLvl w:val="3"/>
        <w:rPr>
          <w:rFonts w:ascii="宋体" w:hAnsi="宋体" w:eastAsia="宋体"/>
          <w:b/>
          <w:szCs w:val="21"/>
        </w:rPr>
      </w:pPr>
      <w:r>
        <w:rPr>
          <w:rFonts w:hint="eastAsia" w:ascii="宋体" w:hAnsi="宋体" w:eastAsia="宋体"/>
          <w:b/>
          <w:szCs w:val="21"/>
        </w:rPr>
        <w:t>1</w:t>
      </w:r>
      <w:r>
        <w:rPr>
          <w:rFonts w:hint="eastAsia" w:ascii="宋体" w:hAnsi="宋体" w:eastAsia="宋体"/>
          <w:b/>
          <w:szCs w:val="21"/>
          <w:lang w:val="en-US" w:eastAsia="zh-CN"/>
        </w:rPr>
        <w:t>3</w:t>
      </w:r>
      <w:r>
        <w:rPr>
          <w:rFonts w:hint="eastAsia" w:ascii="宋体" w:hAnsi="宋体" w:eastAsia="宋体"/>
          <w:b/>
          <w:szCs w:val="21"/>
        </w:rPr>
        <w:t>、联系方式</w:t>
      </w:r>
    </w:p>
    <w:p>
      <w:pPr>
        <w:spacing w:line="360" w:lineRule="auto"/>
        <w:ind w:firstLine="420" w:firstLineChars="200"/>
        <w:rPr>
          <w:rFonts w:ascii="宋体" w:hAnsi="宋体" w:eastAsia="宋体"/>
          <w:szCs w:val="21"/>
        </w:rPr>
      </w:pPr>
      <w:r>
        <w:rPr>
          <w:rFonts w:hint="eastAsia" w:ascii="宋体" w:hAnsi="宋体" w:eastAsia="宋体"/>
          <w:szCs w:val="21"/>
        </w:rPr>
        <w:t>询价方：嘉兴杭州湾石油化工物流有限公司</w:t>
      </w:r>
    </w:p>
    <w:p>
      <w:pPr>
        <w:spacing w:line="360" w:lineRule="auto"/>
        <w:ind w:firstLine="420" w:firstLineChars="200"/>
        <w:rPr>
          <w:rFonts w:ascii="宋体" w:hAnsi="宋体" w:eastAsia="宋体"/>
          <w:szCs w:val="21"/>
        </w:rPr>
      </w:pPr>
      <w:r>
        <w:rPr>
          <w:rFonts w:hint="eastAsia" w:ascii="宋体" w:hAnsi="宋体" w:eastAsia="宋体"/>
          <w:szCs w:val="21"/>
        </w:rPr>
        <w:t>邮 编：314201</w:t>
      </w:r>
    </w:p>
    <w:p>
      <w:pPr>
        <w:spacing w:line="360" w:lineRule="auto"/>
        <w:ind w:firstLine="420" w:firstLineChars="200"/>
        <w:rPr>
          <w:rFonts w:ascii="宋体" w:hAnsi="宋体" w:eastAsia="宋体"/>
          <w:szCs w:val="21"/>
        </w:rPr>
      </w:pPr>
      <w:r>
        <w:rPr>
          <w:rFonts w:hint="eastAsia" w:ascii="宋体" w:hAnsi="宋体" w:eastAsia="宋体"/>
          <w:szCs w:val="21"/>
        </w:rPr>
        <w:t>联系人：金峰</w:t>
      </w:r>
      <w:r>
        <w:rPr>
          <w:rFonts w:ascii="宋体" w:hAnsi="宋体" w:eastAsia="宋体"/>
          <w:szCs w:val="21"/>
        </w:rPr>
        <w:t>（</w:t>
      </w:r>
      <w:r>
        <w:rPr>
          <w:rFonts w:hint="eastAsia" w:ascii="宋体" w:hAnsi="宋体" w:eastAsia="宋体"/>
          <w:szCs w:val="21"/>
        </w:rPr>
        <w:t>安全</w:t>
      </w:r>
      <w:r>
        <w:rPr>
          <w:rFonts w:ascii="宋体" w:hAnsi="宋体" w:eastAsia="宋体"/>
          <w:szCs w:val="21"/>
        </w:rPr>
        <w:t>技术部）</w:t>
      </w:r>
      <w:r>
        <w:rPr>
          <w:rFonts w:hint="eastAsia" w:ascii="宋体" w:hAnsi="宋体" w:eastAsia="宋体"/>
          <w:szCs w:val="21"/>
        </w:rPr>
        <w:t xml:space="preserve">  电 话：18358319722</w:t>
      </w:r>
    </w:p>
    <w:p>
      <w:pPr>
        <w:spacing w:line="360" w:lineRule="auto"/>
        <w:ind w:firstLine="420" w:firstLineChars="200"/>
        <w:rPr>
          <w:rFonts w:ascii="宋体" w:hAnsi="宋体" w:eastAsia="宋体"/>
          <w:szCs w:val="21"/>
        </w:rPr>
      </w:pPr>
      <w:r>
        <w:rPr>
          <w:rFonts w:hint="eastAsia" w:ascii="宋体" w:hAnsi="宋体" w:eastAsia="宋体"/>
          <w:szCs w:val="21"/>
        </w:rPr>
        <w:t>联系人：姜鑫燚（综合</w:t>
      </w:r>
      <w:r>
        <w:rPr>
          <w:rFonts w:hint="eastAsia" w:ascii="宋体" w:hAnsi="宋体" w:eastAsia="宋体"/>
          <w:szCs w:val="21"/>
          <w:lang w:val="en-US" w:eastAsia="zh-CN"/>
        </w:rPr>
        <w:t>部（计划财务）</w:t>
      </w:r>
      <w:r>
        <w:rPr>
          <w:rFonts w:hint="eastAsia" w:ascii="宋体" w:hAnsi="宋体" w:eastAsia="宋体"/>
          <w:szCs w:val="21"/>
        </w:rPr>
        <w:t>）电 话：</w:t>
      </w:r>
      <w:r>
        <w:rPr>
          <w:rFonts w:hint="eastAsia" w:ascii="宋体" w:hAnsi="宋体" w:eastAsia="宋体"/>
          <w:szCs w:val="21"/>
          <w:lang w:val="en-US" w:eastAsia="zh-CN"/>
        </w:rPr>
        <w:t>0573-85529384</w:t>
      </w:r>
    </w:p>
    <w:p>
      <w:pPr>
        <w:pageBreakBefore w:val="0"/>
        <w:widowControl w:val="0"/>
        <w:wordWrap/>
        <w:topLinePunct w:val="0"/>
        <w:autoSpaceDE/>
        <w:autoSpaceDN/>
        <w:bidi w:val="0"/>
        <w:adjustRightInd/>
        <w:snapToGrid/>
        <w:spacing w:line="360" w:lineRule="auto"/>
        <w:textAlignment w:val="auto"/>
      </w:pPr>
      <w:r>
        <w:rPr>
          <w:rFonts w:hint="eastAsia" w:ascii="宋体" w:hAnsi="宋体" w:eastAsia="宋体"/>
          <w:szCs w:val="21"/>
        </w:rPr>
        <w:t xml:space="preserve">    监督</w:t>
      </w:r>
      <w:r>
        <w:rPr>
          <w:rFonts w:ascii="宋体" w:hAnsi="宋体" w:eastAsia="宋体"/>
          <w:szCs w:val="21"/>
        </w:rPr>
        <w:t>：</w:t>
      </w:r>
      <w:r>
        <w:rPr>
          <w:rFonts w:hint="eastAsia" w:ascii="宋体" w:hAnsi="宋体" w:eastAsia="宋体"/>
          <w:szCs w:val="21"/>
        </w:rPr>
        <w:t>0573-85532017</w:t>
      </w:r>
      <w:r>
        <w:rPr>
          <w:rFonts w:ascii="宋体" w:hAnsi="宋体" w:eastAsia="宋体"/>
          <w:szCs w:val="21"/>
        </w:rPr>
        <w:br w:type="page"/>
      </w:r>
    </w:p>
    <w:p>
      <w:pPr>
        <w:pStyle w:val="4"/>
        <w:jc w:val="center"/>
        <w:rPr>
          <w:sz w:val="28"/>
          <w:szCs w:val="28"/>
        </w:rPr>
      </w:pPr>
      <w:bookmarkStart w:id="0" w:name="_Toc25400"/>
      <w:bookmarkStart w:id="1" w:name="_Toc22797166"/>
      <w:r>
        <w:rPr>
          <w:rFonts w:hint="eastAsia"/>
          <w:sz w:val="28"/>
          <w:szCs w:val="28"/>
        </w:rPr>
        <w:t>第一章报价人须知</w:t>
      </w:r>
      <w:bookmarkEnd w:id="0"/>
      <w:bookmarkEnd w:id="1"/>
    </w:p>
    <w:tbl>
      <w:tblPr>
        <w:tblStyle w:val="21"/>
        <w:tblW w:w="91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28" w:type="dxa"/>
          <w:left w:w="28" w:type="dxa"/>
          <w:bottom w:w="28" w:type="dxa"/>
          <w:right w:w="28" w:type="dxa"/>
        </w:tblCellMar>
      </w:tblPr>
      <w:tblGrid>
        <w:gridCol w:w="853"/>
        <w:gridCol w:w="1869"/>
        <w:gridCol w:w="64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adjustRightInd w:val="0"/>
              <w:snapToGrid w:val="0"/>
              <w:jc w:val="center"/>
              <w:textAlignment w:val="baseline"/>
            </w:pPr>
            <w:r>
              <w:rPr>
                <w:rFonts w:hint="eastAsia"/>
              </w:rPr>
              <w:t>1</w:t>
            </w:r>
          </w:p>
        </w:tc>
        <w:tc>
          <w:tcPr>
            <w:tcW w:w="1869" w:type="dxa"/>
            <w:vAlign w:val="center"/>
          </w:tcPr>
          <w:p>
            <w:r>
              <w:rPr>
                <w:rFonts w:hint="eastAsia"/>
              </w:rPr>
              <w:t>报价人资格条件</w:t>
            </w:r>
          </w:p>
        </w:tc>
        <w:tc>
          <w:tcPr>
            <w:tcW w:w="6405" w:type="dxa"/>
            <w:vAlign w:val="center"/>
          </w:tcPr>
          <w:p>
            <w:pPr>
              <w:pStyle w:val="33"/>
              <w:ind w:left="0" w:leftChars="0" w:firstLine="0" w:firstLineChars="0"/>
            </w:pPr>
            <w:r>
              <w:rPr>
                <w:rFonts w:hint="eastAsia"/>
              </w:rPr>
              <w:t>（1）具有独立承担民事责任的能力。</w:t>
            </w:r>
          </w:p>
          <w:p>
            <w:pPr>
              <w:spacing w:line="360" w:lineRule="auto"/>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）有依法缴纳税收和社会保障资金的良好记录，在经营活动中没有重大违法记录。</w:t>
            </w:r>
          </w:p>
          <w:p>
            <w:pPr>
              <w:spacing w:line="360" w:lineRule="auto"/>
              <w:rPr>
                <w:rFonts w:hint="eastAsia" w:ascii="宋体" w:hAnsi="宋体" w:eastAsia="宋体"/>
                <w:szCs w:val="21"/>
                <w:lang w:val="en-US" w:eastAsia="zh-CN"/>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）必须以公司和企业名义参加，任何个人不准参加。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adjustRightInd w:val="0"/>
              <w:snapToGrid w:val="0"/>
              <w:jc w:val="center"/>
              <w:textAlignment w:val="baseline"/>
            </w:pPr>
            <w:r>
              <w:t>2</w:t>
            </w:r>
          </w:p>
        </w:tc>
        <w:tc>
          <w:tcPr>
            <w:tcW w:w="1869" w:type="dxa"/>
            <w:vAlign w:val="center"/>
          </w:tcPr>
          <w:p>
            <w:r>
              <w:rPr>
                <w:rFonts w:hint="eastAsia"/>
              </w:rPr>
              <w:t>计划服务期及进度要求</w:t>
            </w:r>
          </w:p>
        </w:tc>
        <w:tc>
          <w:tcPr>
            <w:tcW w:w="6405" w:type="dxa"/>
            <w:vAlign w:val="center"/>
          </w:tcPr>
          <w:p>
            <w:pPr>
              <w:widowControl/>
              <w:snapToGrid w:val="0"/>
              <w:rPr>
                <w:rFonts w:hint="default" w:eastAsiaTheme="minorEastAsia"/>
                <w:highlight w:val="none"/>
                <w:lang w:val="en-US" w:eastAsia="zh-CN"/>
              </w:rPr>
            </w:pPr>
            <w:r>
              <w:rPr>
                <w:rFonts w:hint="eastAsia"/>
                <w:highlight w:val="none"/>
                <w:lang w:val="en-US" w:eastAsia="zh-CN"/>
              </w:rPr>
              <w:t>20个日历天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adjustRightInd w:val="0"/>
              <w:snapToGrid w:val="0"/>
              <w:jc w:val="center"/>
              <w:textAlignment w:val="baseline"/>
            </w:pPr>
            <w:r>
              <w:t>3</w:t>
            </w:r>
          </w:p>
        </w:tc>
        <w:tc>
          <w:tcPr>
            <w:tcW w:w="1869" w:type="dxa"/>
            <w:vAlign w:val="center"/>
          </w:tcPr>
          <w:p>
            <w:r>
              <w:rPr>
                <w:rFonts w:hint="eastAsia"/>
              </w:rPr>
              <w:t>质</w:t>
            </w:r>
            <w:r>
              <w:t>量要求</w:t>
            </w:r>
          </w:p>
        </w:tc>
        <w:tc>
          <w:tcPr>
            <w:tcW w:w="6405" w:type="dxa"/>
            <w:vAlign w:val="center"/>
          </w:tcPr>
          <w:p>
            <w:pPr>
              <w:widowControl/>
              <w:snapToGrid w:val="0"/>
            </w:pPr>
            <w:r>
              <w:rPr>
                <w:rFonts w:hint="eastAsia"/>
              </w:rPr>
              <w:t>满</w:t>
            </w:r>
            <w:r>
              <w:t>足</w:t>
            </w:r>
            <w:r>
              <w:rPr>
                <w:rFonts w:hint="eastAsia"/>
                <w:lang w:val="en-US" w:eastAsia="zh-CN"/>
              </w:rPr>
              <w:t>合同内技术规范</w:t>
            </w:r>
            <w:r>
              <w:rPr>
                <w:rFonts w:hint="eastAsia"/>
              </w:rPr>
              <w:t>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4</w:t>
            </w:r>
          </w:p>
        </w:tc>
        <w:tc>
          <w:tcPr>
            <w:tcW w:w="1869" w:type="dxa"/>
            <w:vAlign w:val="center"/>
          </w:tcPr>
          <w:p>
            <w:r>
              <w:rPr>
                <w:rFonts w:hint="eastAsia"/>
              </w:rPr>
              <w:t>最高报价限价</w:t>
            </w:r>
          </w:p>
        </w:tc>
        <w:tc>
          <w:tcPr>
            <w:tcW w:w="6405" w:type="dxa"/>
            <w:vAlign w:val="center"/>
          </w:tcPr>
          <w:p>
            <w:pPr>
              <w:snapToGrid w:val="0"/>
              <w:rPr>
                <w:rFonts w:hint="eastAsia" w:eastAsia="宋体"/>
                <w:b/>
                <w:bCs/>
                <w:kern w:val="0"/>
                <w:szCs w:val="20"/>
                <w:highlight w:val="none"/>
                <w:lang w:eastAsia="zh-CN"/>
              </w:rPr>
            </w:pPr>
            <w:r>
              <w:rPr>
                <w:rFonts w:hint="eastAsia"/>
                <w:b/>
                <w:bCs/>
                <w:kern w:val="0"/>
                <w:szCs w:val="20"/>
                <w:highlight w:val="none"/>
              </w:rPr>
              <w:t>本次询价最高报价限价为：</w:t>
            </w:r>
            <w:r>
              <w:rPr>
                <w:rFonts w:hint="eastAsia"/>
                <w:color w:val="0D0D0D" w:themeColor="text1" w:themeTint="F2"/>
                <w:highlight w:val="none"/>
                <w14:textFill>
                  <w14:solidFill>
                    <w14:schemeClr w14:val="tx1">
                      <w14:lumMod w14:val="95000"/>
                      <w14:lumOff w14:val="5000"/>
                    </w14:schemeClr>
                  </w14:solidFill>
                </w14:textFill>
              </w:rPr>
              <w:t>【</w:t>
            </w:r>
            <w:r>
              <w:rPr>
                <w:rFonts w:hint="eastAsia"/>
                <w:color w:val="0D0D0D" w:themeColor="text1" w:themeTint="F2"/>
                <w:highlight w:val="none"/>
                <w:lang w:val="en-US" w:eastAsia="zh-CN"/>
                <w14:textFill>
                  <w14:solidFill>
                    <w14:schemeClr w14:val="tx1">
                      <w14:lumMod w14:val="95000"/>
                      <w14:lumOff w14:val="5000"/>
                    </w14:schemeClr>
                  </w14:solidFill>
                </w14:textFill>
              </w:rPr>
              <w:t>2.1</w:t>
            </w:r>
            <w:r>
              <w:rPr>
                <w:rFonts w:hint="eastAsia"/>
                <w:color w:val="0D0D0D" w:themeColor="text1" w:themeTint="F2"/>
                <w:highlight w:val="none"/>
                <w14:textFill>
                  <w14:solidFill>
                    <w14:schemeClr w14:val="tx1">
                      <w14:lumMod w14:val="95000"/>
                      <w14:lumOff w14:val="5000"/>
                    </w14:schemeClr>
                  </w14:solidFill>
                </w14:textFill>
              </w:rPr>
              <w:t>】</w:t>
            </w:r>
            <w:r>
              <w:rPr>
                <w:rFonts w:hint="eastAsia"/>
                <w:b/>
                <w:bCs/>
                <w:color w:val="0D0D0D" w:themeColor="text1" w:themeTint="F2"/>
                <w:kern w:val="0"/>
                <w:szCs w:val="20"/>
                <w:highlight w:val="none"/>
                <w14:textFill>
                  <w14:solidFill>
                    <w14:schemeClr w14:val="tx1">
                      <w14:lumMod w14:val="95000"/>
                      <w14:lumOff w14:val="5000"/>
                    </w14:schemeClr>
                  </w14:solidFill>
                </w14:textFill>
              </w:rPr>
              <w:t>万元</w:t>
            </w:r>
            <w:r>
              <w:rPr>
                <w:rFonts w:hint="eastAsia"/>
                <w:b/>
                <w:bCs/>
                <w:kern w:val="0"/>
                <w:szCs w:val="20"/>
                <w:highlight w:val="none"/>
                <w:lang w:eastAsia="zh-CN"/>
              </w:rPr>
              <w:t>，</w:t>
            </w:r>
            <w:r>
              <w:rPr>
                <w:rFonts w:hint="eastAsia" w:ascii="宋体" w:hAnsi="宋体" w:cs="宋体"/>
                <w:color w:val="000000"/>
                <w:szCs w:val="21"/>
              </w:rPr>
              <w:t>报价币种为人民币</w:t>
            </w:r>
            <w:r>
              <w:rPr>
                <w:rFonts w:hint="eastAsia" w:ascii="宋体" w:hAnsi="宋体" w:cs="宋体"/>
                <w:color w:val="000000"/>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5</w:t>
            </w:r>
          </w:p>
        </w:tc>
        <w:tc>
          <w:tcPr>
            <w:tcW w:w="1869" w:type="dxa"/>
            <w:vAlign w:val="center"/>
          </w:tcPr>
          <w:p>
            <w:r>
              <w:rPr>
                <w:rFonts w:hint="eastAsia"/>
              </w:rPr>
              <w:t>报价的其他要求</w:t>
            </w:r>
          </w:p>
        </w:tc>
        <w:tc>
          <w:tcPr>
            <w:tcW w:w="6405" w:type="dxa"/>
            <w:vAlign w:val="center"/>
          </w:tcPr>
          <w:p>
            <w:pPr>
              <w:numPr>
                <w:ilvl w:val="0"/>
                <w:numId w:val="1"/>
              </w:numPr>
              <w:rPr>
                <w:rFonts w:hint="eastAsia" w:eastAsia="宋体"/>
                <w:lang w:eastAsia="zh-CN"/>
              </w:rPr>
            </w:pPr>
            <w:r>
              <w:rPr>
                <w:rFonts w:hint="eastAsia"/>
              </w:rPr>
              <w:t>采用固定总价合同，合同有效期内，除合同约定以外情形，合同总价不作调整。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6</w:t>
            </w:r>
          </w:p>
        </w:tc>
        <w:tc>
          <w:tcPr>
            <w:tcW w:w="1869" w:type="dxa"/>
            <w:vAlign w:val="center"/>
          </w:tcPr>
          <w:p>
            <w:r>
              <w:rPr>
                <w:rFonts w:hint="eastAsia"/>
              </w:rPr>
              <w:t>报价有效期</w:t>
            </w:r>
          </w:p>
        </w:tc>
        <w:tc>
          <w:tcPr>
            <w:tcW w:w="6405" w:type="dxa"/>
            <w:vAlign w:val="center"/>
          </w:tcPr>
          <w:p>
            <w:pPr>
              <w:rPr>
                <w:highlight w:val="none"/>
              </w:rPr>
            </w:pPr>
            <w:r>
              <w:rPr>
                <w:rFonts w:hint="eastAsia"/>
                <w:highlight w:val="none"/>
              </w:rPr>
              <w:t>不少于【90】个日历天（从报价截止之日算起）。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7</w:t>
            </w:r>
          </w:p>
        </w:tc>
        <w:tc>
          <w:tcPr>
            <w:tcW w:w="1869" w:type="dxa"/>
            <w:vAlign w:val="center"/>
          </w:tcPr>
          <w:p>
            <w:r>
              <w:rPr>
                <w:rFonts w:hint="eastAsia"/>
              </w:rPr>
              <w:t>报价文件编制和份数要求</w:t>
            </w:r>
          </w:p>
        </w:tc>
        <w:tc>
          <w:tcPr>
            <w:tcW w:w="6405" w:type="dxa"/>
            <w:vAlign w:val="center"/>
          </w:tcPr>
          <w:p>
            <w:r>
              <w:rPr>
                <w:rFonts w:hint="eastAsia"/>
              </w:rPr>
              <w:t>报价文件：</w:t>
            </w:r>
          </w:p>
          <w:p>
            <w:r>
              <w:rPr>
                <w:rFonts w:hint="eastAsia"/>
              </w:rPr>
              <w:t>纸质版：正本1份、副本1份。副本</w:t>
            </w:r>
            <w:r>
              <w:t>与正本</w:t>
            </w:r>
            <w:r>
              <w:rPr>
                <w:rFonts w:hint="eastAsia"/>
              </w:rPr>
              <w:t>有差异时，以正本文件为准。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8</w:t>
            </w:r>
          </w:p>
        </w:tc>
        <w:tc>
          <w:tcPr>
            <w:tcW w:w="1869" w:type="dxa"/>
            <w:vAlign w:val="center"/>
          </w:tcPr>
          <w:p>
            <w:r>
              <w:rPr>
                <w:rFonts w:hint="eastAsia"/>
              </w:rPr>
              <w:t>装订要求</w:t>
            </w:r>
          </w:p>
        </w:tc>
        <w:tc>
          <w:tcPr>
            <w:tcW w:w="6405" w:type="dxa"/>
            <w:vAlign w:val="center"/>
          </w:tcPr>
          <w:p>
            <w:r>
              <w:rPr>
                <w:rFonts w:hint="eastAsia"/>
                <w:shd w:val="pct10" w:color="auto" w:fill="FFFFFF"/>
              </w:rPr>
              <w:t>报价文件正副本应分别装订成册，目录、页码齐全，不得活页装订。否则，询价人对由于报价文件装订松散而造成的丢失或其他后果不承担任何责任。报价文件的包装上加贴封条，并在封套的封口处加盖报价人单位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9</w:t>
            </w:r>
          </w:p>
        </w:tc>
        <w:tc>
          <w:tcPr>
            <w:tcW w:w="1869" w:type="dxa"/>
            <w:vAlign w:val="center"/>
          </w:tcPr>
          <w:p>
            <w:r>
              <w:rPr>
                <w:rFonts w:hint="eastAsia"/>
              </w:rPr>
              <w:t>报价文件的封套上写明</w:t>
            </w:r>
          </w:p>
        </w:tc>
        <w:tc>
          <w:tcPr>
            <w:tcW w:w="6405" w:type="dxa"/>
            <w:vAlign w:val="center"/>
          </w:tcPr>
          <w:p>
            <w:r>
              <w:rPr>
                <w:rFonts w:hint="eastAsia"/>
              </w:rPr>
              <w:t>报价项目名称</w:t>
            </w:r>
            <w:r>
              <w:t>：</w:t>
            </w:r>
            <w:r>
              <w:rPr>
                <w:rFonts w:hint="eastAsia"/>
                <w:lang w:val="en-US" w:eastAsia="zh-CN"/>
              </w:rPr>
              <w:t>红外测温系统安装项目</w:t>
            </w:r>
            <w:r>
              <w:rPr>
                <w:rFonts w:hint="eastAsia"/>
              </w:rPr>
              <w:t>报价</w:t>
            </w:r>
            <w:r>
              <w:t>人名称：</w:t>
            </w:r>
          </w:p>
          <w:p>
            <w:r>
              <w:t>在</w:t>
            </w:r>
            <w:r>
              <w:rPr>
                <w:rFonts w:hint="eastAsia"/>
                <w:lang w:val="en-US" w:eastAsia="zh-CN"/>
              </w:rPr>
              <w:t xml:space="preserve">    </w:t>
            </w:r>
            <w:r>
              <w:fldChar w:fldCharType="begin" w:fldLock="1"/>
            </w:r>
            <w:r>
              <w:instrText xml:space="preserve"> REF 投标截止时间 \h  \* MERGEFORMAT </w:instrText>
            </w:r>
            <w:r>
              <w:fldChar w:fldCharType="separate"/>
            </w:r>
            <w:r>
              <w:rPr>
                <w:rFonts w:hint="eastAsia"/>
              </w:rPr>
              <w:t>年</w:t>
            </w:r>
            <w:r>
              <w:rPr>
                <w:rFonts w:hint="eastAsia"/>
                <w:lang w:val="en-US" w:eastAsia="zh-CN"/>
              </w:rPr>
              <w:t xml:space="preserve">    </w:t>
            </w:r>
            <w:r>
              <w:rPr>
                <w:rFonts w:hint="eastAsia"/>
              </w:rPr>
              <w:t>月</w:t>
            </w:r>
            <w:r>
              <w:rPr>
                <w:rFonts w:hint="eastAsia"/>
                <w:lang w:val="en-US" w:eastAsia="zh-CN"/>
              </w:rPr>
              <w:t xml:space="preserve">    </w:t>
            </w:r>
            <w:r>
              <w:rPr>
                <w:rFonts w:hint="eastAsia"/>
              </w:rPr>
              <w:t>日（北京时间24小时制）</w:t>
            </w:r>
            <w:r>
              <w:rPr>
                <w:rFonts w:hint="eastAsia"/>
              </w:rPr>
              <w:fldChar w:fldCharType="end"/>
            </w:r>
            <w:r>
              <w:t>前不得开启。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10</w:t>
            </w:r>
          </w:p>
        </w:tc>
        <w:tc>
          <w:tcPr>
            <w:tcW w:w="1869" w:type="dxa"/>
            <w:vAlign w:val="center"/>
          </w:tcPr>
          <w:p>
            <w:pPr>
              <w:rPr>
                <w:b/>
                <w:bCs/>
              </w:rPr>
            </w:pPr>
            <w:r>
              <w:rPr>
                <w:rFonts w:hint="eastAsia"/>
                <w:b/>
                <w:bCs/>
              </w:rPr>
              <w:t>报价截止时间</w:t>
            </w:r>
          </w:p>
        </w:tc>
        <w:tc>
          <w:tcPr>
            <w:tcW w:w="6405" w:type="dxa"/>
            <w:vAlign w:val="center"/>
          </w:tcPr>
          <w:p>
            <w:pPr>
              <w:widowControl/>
              <w:snapToGrid w:val="0"/>
              <w:ind w:firstLine="632" w:firstLineChars="300"/>
              <w:rPr>
                <w:b/>
                <w:bCs/>
              </w:rPr>
            </w:pPr>
            <w:r>
              <w:rPr>
                <w:rFonts w:hint="eastAsia"/>
                <w:b/>
                <w:bCs/>
              </w:rPr>
              <w:t>2</w:t>
            </w:r>
            <w:r>
              <w:rPr>
                <w:b/>
                <w:bCs/>
              </w:rPr>
              <w:t>02</w:t>
            </w:r>
            <w:r>
              <w:rPr>
                <w:rFonts w:hint="eastAsia"/>
                <w:b/>
                <w:bCs/>
                <w:lang w:val="en-US" w:eastAsia="zh-CN"/>
              </w:rPr>
              <w:t>1</w:t>
            </w:r>
            <w:r>
              <w:rPr>
                <w:rFonts w:hint="eastAsia"/>
                <w:b/>
                <w:bCs/>
              </w:rPr>
              <w:t>年</w:t>
            </w:r>
            <w:r>
              <w:rPr>
                <w:rFonts w:hint="eastAsia"/>
                <w:b/>
                <w:bCs/>
                <w:lang w:val="en-US" w:eastAsia="zh-CN"/>
              </w:rPr>
              <w:t xml:space="preserve"> 12 </w:t>
            </w:r>
            <w:r>
              <w:rPr>
                <w:rFonts w:hint="eastAsia"/>
                <w:b/>
                <w:bCs/>
              </w:rPr>
              <w:t>月</w:t>
            </w:r>
            <w:r>
              <w:rPr>
                <w:rFonts w:hint="eastAsia"/>
                <w:b/>
                <w:bCs/>
                <w:lang w:val="en-US" w:eastAsia="zh-CN"/>
              </w:rPr>
              <w:t xml:space="preserve">  7 </w:t>
            </w:r>
            <w:r>
              <w:rPr>
                <w:rFonts w:hint="eastAsia"/>
                <w:b/>
                <w:bCs/>
              </w:rPr>
              <w:t>日</w:t>
            </w:r>
            <w:r>
              <w:rPr>
                <w:rFonts w:hint="eastAsia"/>
                <w:b/>
                <w:bCs/>
                <w:lang w:val="en-US" w:eastAsia="zh-CN"/>
              </w:rPr>
              <w:t xml:space="preserve">  13</w:t>
            </w:r>
            <w:r>
              <w:rPr>
                <w:rFonts w:hint="eastAsia"/>
                <w:b/>
                <w:bCs/>
              </w:rPr>
              <w:t>时</w:t>
            </w:r>
            <w:r>
              <w:rPr>
                <w:b/>
                <w:bCs/>
              </w:rPr>
              <w:t xml:space="preserve"> </w:t>
            </w:r>
            <w:r>
              <w:rPr>
                <w:rFonts w:hint="eastAsia"/>
                <w:b/>
                <w:bCs/>
                <w:lang w:val="en-US" w:eastAsia="zh-CN"/>
              </w:rPr>
              <w:t xml:space="preserve"> 00 </w:t>
            </w:r>
            <w:r>
              <w:rPr>
                <w:rFonts w:hint="eastAsia"/>
                <w:b/>
                <w:bCs/>
              </w:rPr>
              <w:t>分（北</w:t>
            </w:r>
            <w:r>
              <w:rPr>
                <w:b/>
                <w:bCs/>
              </w:rPr>
              <w:t>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t>11</w:t>
            </w:r>
          </w:p>
        </w:tc>
        <w:tc>
          <w:tcPr>
            <w:tcW w:w="1869" w:type="dxa"/>
            <w:vAlign w:val="center"/>
          </w:tcPr>
          <w:p>
            <w:r>
              <w:rPr>
                <w:rFonts w:hint="eastAsia"/>
              </w:rPr>
              <w:t>报价递交地点</w:t>
            </w:r>
          </w:p>
        </w:tc>
        <w:tc>
          <w:tcPr>
            <w:tcW w:w="6405" w:type="dxa"/>
            <w:vAlign w:val="center"/>
          </w:tcPr>
          <w:p>
            <w:pPr>
              <w:rPr>
                <w:rFonts w:hint="eastAsia" w:eastAsia="宋体"/>
                <w:lang w:eastAsia="zh-CN"/>
              </w:rPr>
            </w:pPr>
            <w:r>
              <w:rPr>
                <w:rFonts w:hint="eastAsia"/>
                <w:lang w:eastAsia="zh-CN"/>
              </w:rPr>
              <w:t>嘉兴市乍浦港区怡海路一号</w:t>
            </w:r>
            <w:r>
              <w:rPr>
                <w:rFonts w:hint="eastAsia"/>
              </w:rPr>
              <w:t>，</w:t>
            </w:r>
            <w:r>
              <w:rPr>
                <w:rFonts w:hint="eastAsia"/>
                <w:lang w:eastAsia="zh-CN"/>
              </w:rPr>
              <w:t>嘉兴杭州湾石油化工物流有限公司</w:t>
            </w:r>
            <w:r>
              <w:rPr>
                <w:rFonts w:hint="eastAsia"/>
                <w:lang w:val="en-US" w:eastAsia="zh-CN"/>
              </w:rPr>
              <w:t>308室</w:t>
            </w:r>
            <w:r>
              <w:rPr>
                <w:rFonts w:hint="eastAsia"/>
              </w:rPr>
              <w:t xml:space="preserve"> </w:t>
            </w:r>
            <w:r>
              <w:rPr>
                <w:rFonts w:hint="eastAsia"/>
                <w:lang w:eastAsia="zh-CN"/>
              </w:rPr>
              <w:t>姜鑫燚</w:t>
            </w:r>
            <w:r>
              <w:rPr>
                <w:rFonts w:hint="eastAsia"/>
              </w:rPr>
              <w:t>收</w:t>
            </w:r>
            <w:r>
              <w:rPr>
                <w:rFonts w:hint="eastAsia"/>
                <w:lang w:eastAsia="zh-CN"/>
              </w:rPr>
              <w:t>，联系电话：0573-85529384。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rPr>
                <w:rFonts w:hint="eastAsia"/>
              </w:rPr>
              <w:t>1</w:t>
            </w:r>
            <w:r>
              <w:t>2</w:t>
            </w:r>
          </w:p>
        </w:tc>
        <w:tc>
          <w:tcPr>
            <w:tcW w:w="1869" w:type="dxa"/>
            <w:vAlign w:val="center"/>
          </w:tcPr>
          <w:p>
            <w:r>
              <w:rPr>
                <w:rFonts w:hint="eastAsia"/>
              </w:rPr>
              <w:t>是否退还报价文件</w:t>
            </w:r>
          </w:p>
        </w:tc>
        <w:tc>
          <w:tcPr>
            <w:tcW w:w="6405" w:type="dxa"/>
            <w:vAlign w:val="center"/>
          </w:tcPr>
          <w:p>
            <w: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rPr>
                <w:rFonts w:hint="eastAsia"/>
              </w:rPr>
              <w:t>1</w:t>
            </w:r>
            <w:r>
              <w:t>3</w:t>
            </w:r>
          </w:p>
        </w:tc>
        <w:tc>
          <w:tcPr>
            <w:tcW w:w="1869" w:type="dxa"/>
            <w:vAlign w:val="center"/>
          </w:tcPr>
          <w:p>
            <w:r>
              <w:rPr>
                <w:rFonts w:hint="eastAsia"/>
              </w:rPr>
              <w:t>报价文件的拒收情形</w:t>
            </w:r>
          </w:p>
        </w:tc>
        <w:tc>
          <w:tcPr>
            <w:tcW w:w="6405" w:type="dxa"/>
            <w:vAlign w:val="center"/>
          </w:tcPr>
          <w:p>
            <w:r>
              <w:rPr>
                <w:rFonts w:hint="eastAsia"/>
              </w:rPr>
              <w:t>1、未按询价文件要求密封的报价文件。</w:t>
            </w:r>
          </w:p>
          <w:p>
            <w:r>
              <w:rPr>
                <w:rFonts w:hint="eastAsia"/>
              </w:rPr>
              <w:t>2、逾期送达的或者未送达指定地点的报价文件。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jc w:val="center"/>
            </w:pPr>
            <w:r>
              <w:rPr>
                <w:rFonts w:hint="eastAsia"/>
              </w:rPr>
              <w:t>1</w:t>
            </w:r>
            <w:r>
              <w:t>4</w:t>
            </w:r>
          </w:p>
        </w:tc>
        <w:tc>
          <w:tcPr>
            <w:tcW w:w="1869" w:type="dxa"/>
            <w:vAlign w:val="center"/>
          </w:tcPr>
          <w:p>
            <w:r>
              <w:rPr>
                <w:rFonts w:hint="eastAsia"/>
              </w:rPr>
              <w:t>评审方法</w:t>
            </w:r>
          </w:p>
        </w:tc>
        <w:tc>
          <w:tcPr>
            <w:tcW w:w="6405" w:type="dxa"/>
            <w:vAlign w:val="center"/>
          </w:tcPr>
          <w:p>
            <w:r>
              <w:rPr>
                <w:rFonts w:hint="eastAsia"/>
              </w:rPr>
              <w:t>经评审的最低</w:t>
            </w:r>
            <w:r>
              <w:rPr>
                <w:rFonts w:hint="eastAsia"/>
                <w:lang w:val="en-US" w:eastAsia="zh-CN"/>
              </w:rPr>
              <w:t>投标</w:t>
            </w:r>
            <w:r>
              <w:rPr>
                <w:rFonts w:hint="eastAsia"/>
              </w:rPr>
              <w:t>价法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28" w:type="dxa"/>
            <w:left w:w="28" w:type="dxa"/>
            <w:bottom w:w="28" w:type="dxa"/>
            <w:right w:w="28" w:type="dxa"/>
          </w:tblCellMar>
        </w:tblPrEx>
        <w:trPr>
          <w:jc w:val="center"/>
        </w:trPr>
        <w:tc>
          <w:tcPr>
            <w:tcW w:w="853" w:type="dxa"/>
            <w:vAlign w:val="center"/>
          </w:tcPr>
          <w:p>
            <w:pPr>
              <w:adjustRightInd w:val="0"/>
              <w:snapToGrid w:val="0"/>
              <w:jc w:val="center"/>
              <w:textAlignment w:val="baseline"/>
            </w:pPr>
            <w:r>
              <w:t>1</w:t>
            </w:r>
            <w:r>
              <w:rPr>
                <w:rFonts w:hint="eastAsia"/>
              </w:rPr>
              <w:t>5</w:t>
            </w:r>
          </w:p>
        </w:tc>
        <w:tc>
          <w:tcPr>
            <w:tcW w:w="1869" w:type="dxa"/>
            <w:vAlign w:val="center"/>
          </w:tcPr>
          <w:p>
            <w:r>
              <w:rPr>
                <w:rFonts w:hint="eastAsia"/>
              </w:rPr>
              <w:t>需要补充的其他内容</w:t>
            </w:r>
          </w:p>
        </w:tc>
        <w:tc>
          <w:tcPr>
            <w:tcW w:w="6405" w:type="dxa"/>
            <w:vAlign w:val="center"/>
          </w:tcPr>
          <w:p>
            <w:pPr>
              <w:widowControl/>
              <w:snapToGrid w:val="0"/>
              <w:rPr>
                <w:rFonts w:hint="eastAsia" w:eastAsiaTheme="minorEastAsia"/>
                <w:lang w:val="en-US" w:eastAsia="zh-CN"/>
              </w:rPr>
            </w:pPr>
            <w:r>
              <w:rPr>
                <w:rFonts w:hint="eastAsia"/>
                <w:lang w:val="en-US" w:eastAsia="zh-CN"/>
              </w:rPr>
              <w:t>无</w:t>
            </w:r>
          </w:p>
        </w:tc>
      </w:tr>
    </w:tbl>
    <w:p>
      <w:pPr>
        <w:rPr>
          <w:rFonts w:hint="eastAsia"/>
        </w:rPr>
      </w:pPr>
    </w:p>
    <w:p>
      <w:pPr>
        <w:bidi w:val="0"/>
        <w:rPr>
          <w:rFonts w:hint="eastAsia"/>
        </w:rPr>
      </w:pPr>
      <w:bookmarkStart w:id="2" w:name="_Toc27338270"/>
    </w:p>
    <w:p>
      <w:pPr>
        <w:pStyle w:val="2"/>
        <w:rPr>
          <w:rFonts w:hint="eastAsia"/>
        </w:rPr>
      </w:pPr>
    </w:p>
    <w:p>
      <w:pPr>
        <w:pStyle w:val="2"/>
        <w:rPr>
          <w:rFonts w:hint="eastAsia"/>
        </w:rPr>
      </w:pPr>
    </w:p>
    <w:p>
      <w:pPr>
        <w:pStyle w:val="2"/>
        <w:rPr>
          <w:rFonts w:hint="eastAsia"/>
        </w:rPr>
      </w:pPr>
    </w:p>
    <w:p>
      <w:pPr>
        <w:pStyle w:val="5"/>
        <w:jc w:val="center"/>
        <w:rPr>
          <w:rFonts w:hint="eastAsia" w:ascii="宋体" w:hAnsi="宋体" w:eastAsia="宋体" w:cs="宋体"/>
          <w:color w:val="auto"/>
          <w:sz w:val="24"/>
          <w:szCs w:val="24"/>
        </w:rPr>
      </w:pPr>
      <w:bookmarkStart w:id="3" w:name="_Toc140"/>
      <w:r>
        <w:rPr>
          <w:rFonts w:hint="eastAsia" w:ascii="宋体" w:hAnsi="宋体" w:eastAsia="宋体" w:cs="宋体"/>
          <w:color w:val="auto"/>
          <w:sz w:val="24"/>
          <w:szCs w:val="24"/>
        </w:rPr>
        <w:t>格式一、报价函格式</w:t>
      </w:r>
      <w:bookmarkEnd w:id="2"/>
      <w:bookmarkEnd w:id="3"/>
    </w:p>
    <w:p>
      <w:pPr>
        <w:snapToGrid w:val="0"/>
        <w:spacing w:line="360" w:lineRule="auto"/>
        <w:jc w:val="center"/>
        <w:rPr>
          <w:rFonts w:ascii="宋体" w:hAnsi="宋体" w:eastAsia="宋体" w:cs="Times New Roman"/>
          <w:b/>
          <w:sz w:val="24"/>
          <w:szCs w:val="32"/>
        </w:rPr>
      </w:pPr>
      <w:r>
        <w:rPr>
          <w:rFonts w:hint="eastAsia" w:ascii="宋体" w:hAnsi="宋体" w:eastAsia="宋体" w:cs="Times New Roman"/>
          <w:b/>
          <w:sz w:val="24"/>
          <w:szCs w:val="32"/>
        </w:rPr>
        <w:t>报价函</w:t>
      </w:r>
    </w:p>
    <w:p>
      <w:pPr>
        <w:snapToGrid w:val="0"/>
        <w:rPr>
          <w:rFonts w:ascii="宋体" w:hAnsi="宋体" w:cs="宋体"/>
          <w:szCs w:val="21"/>
        </w:rPr>
      </w:pPr>
      <w:r>
        <w:rPr>
          <w:rFonts w:hint="eastAsia" w:ascii="宋体" w:hAnsi="宋体" w:cs="宋体"/>
          <w:szCs w:val="21"/>
          <w:lang w:eastAsia="zh-CN"/>
        </w:rPr>
        <w:t>嘉兴杭州湾石油化工物流有限公司</w:t>
      </w:r>
      <w:r>
        <w:rPr>
          <w:rFonts w:hint="eastAsia" w:ascii="宋体" w:hAnsi="宋体" w:cs="宋体"/>
          <w:szCs w:val="21"/>
        </w:rPr>
        <w:t>：</w:t>
      </w:r>
    </w:p>
    <w:p>
      <w:pPr>
        <w:pStyle w:val="2"/>
        <w:ind w:firstLine="420"/>
        <w:rPr>
          <w:rFonts w:ascii="宋体" w:hAnsi="宋体" w:cs="宋体"/>
          <w:sz w:val="21"/>
          <w:szCs w:val="21"/>
        </w:rPr>
      </w:pPr>
    </w:p>
    <w:p>
      <w:pPr>
        <w:pStyle w:val="33"/>
        <w:rPr>
          <w:rFonts w:ascii="宋体" w:hAnsi="宋体"/>
          <w:szCs w:val="21"/>
        </w:rPr>
      </w:pPr>
      <w:r>
        <w:rPr>
          <w:rFonts w:hint="eastAsia" w:ascii="宋体" w:hAnsi="宋体"/>
          <w:szCs w:val="21"/>
        </w:rPr>
        <w:t>1.我方已仔细研究了【    】询价文件的全部内容（含补遗书第【】号至第【】号），愿意以人民币（大写）【】元（¥【】元）的投标总报价（或根据询价文件规定修正核实后确定的另一金额），</w:t>
      </w:r>
      <w:r>
        <w:rPr>
          <w:rFonts w:hint="eastAsia" w:ascii="宋体" w:hAnsi="宋体"/>
          <w:szCs w:val="21"/>
          <w:lang w:val="en-US" w:eastAsia="zh-CN"/>
        </w:rPr>
        <w:t>工期</w:t>
      </w:r>
      <w:r>
        <w:rPr>
          <w:rFonts w:hint="eastAsia" w:ascii="宋体" w:hAnsi="宋体"/>
          <w:szCs w:val="21"/>
        </w:rPr>
        <w:t>为合同签订后【</w:t>
      </w:r>
      <w:r>
        <w:rPr>
          <w:rFonts w:hint="eastAsia" w:ascii="宋体" w:hAnsi="宋体"/>
          <w:szCs w:val="21"/>
          <w:lang w:val="en-US" w:eastAsia="zh-CN"/>
        </w:rPr>
        <w:t xml:space="preserve"> </w:t>
      </w:r>
      <w:r>
        <w:rPr>
          <w:rFonts w:hint="eastAsia" w:ascii="宋体" w:hAnsi="宋体"/>
          <w:szCs w:val="21"/>
        </w:rPr>
        <w:t>】</w:t>
      </w:r>
      <w:r>
        <w:rPr>
          <w:rFonts w:hint="eastAsia" w:ascii="宋体" w:hAnsi="宋体"/>
          <w:szCs w:val="21"/>
          <w:lang w:val="en-US" w:eastAsia="zh-CN"/>
        </w:rPr>
        <w:t>个</w:t>
      </w:r>
      <w:r>
        <w:rPr>
          <w:rFonts w:hint="eastAsia" w:ascii="宋体" w:hAnsi="宋体"/>
          <w:szCs w:val="21"/>
        </w:rPr>
        <w:t>日历天按合同约定</w:t>
      </w:r>
      <w:r>
        <w:rPr>
          <w:rFonts w:hint="eastAsia" w:ascii="宋体" w:hAnsi="宋体"/>
          <w:szCs w:val="21"/>
          <w:lang w:val="en-US" w:eastAsia="zh-CN"/>
        </w:rPr>
        <w:t>施工</w:t>
      </w:r>
      <w:r>
        <w:rPr>
          <w:rFonts w:hint="eastAsia" w:ascii="宋体" w:hAnsi="宋体"/>
          <w:szCs w:val="21"/>
        </w:rPr>
        <w:t>（安装调试），完善项目中的任何缺陷，产品质量符合招标文件的要求。</w:t>
      </w:r>
    </w:p>
    <w:p>
      <w:pPr>
        <w:pStyle w:val="33"/>
        <w:rPr>
          <w:rFonts w:ascii="宋体" w:hAnsi="宋体"/>
          <w:szCs w:val="21"/>
        </w:rPr>
      </w:pPr>
      <w:r>
        <w:rPr>
          <w:rFonts w:hint="eastAsia" w:ascii="宋体" w:hAnsi="宋体"/>
          <w:szCs w:val="21"/>
        </w:rPr>
        <w:t>2.我方承诺在投标有效期内不修改、撤销询价文件。</w:t>
      </w:r>
    </w:p>
    <w:p>
      <w:pPr>
        <w:pStyle w:val="33"/>
        <w:rPr>
          <w:rFonts w:ascii="宋体" w:hAnsi="宋体"/>
          <w:szCs w:val="21"/>
        </w:rPr>
      </w:pPr>
      <w:r>
        <w:rPr>
          <w:rFonts w:hint="eastAsia" w:ascii="宋体" w:hAnsi="宋体"/>
          <w:szCs w:val="21"/>
        </w:rPr>
        <w:t>3.如我方中标：</w:t>
      </w:r>
    </w:p>
    <w:p>
      <w:pPr>
        <w:pStyle w:val="33"/>
        <w:rPr>
          <w:rFonts w:ascii="宋体" w:hAnsi="宋体"/>
          <w:szCs w:val="21"/>
        </w:rPr>
      </w:pPr>
      <w:r>
        <w:rPr>
          <w:rFonts w:hint="eastAsia" w:ascii="宋体" w:hAnsi="宋体"/>
          <w:szCs w:val="21"/>
        </w:rPr>
        <w:t>（1）我方承诺在收到中标通知书后，在中标通知书规定的期限内与你方签订合同。</w:t>
      </w:r>
    </w:p>
    <w:p>
      <w:pPr>
        <w:pStyle w:val="33"/>
        <w:rPr>
          <w:rFonts w:ascii="宋体" w:hAnsi="宋体"/>
          <w:szCs w:val="21"/>
        </w:rPr>
      </w:pPr>
      <w:r>
        <w:rPr>
          <w:rFonts w:hint="eastAsia" w:ascii="宋体" w:hAnsi="宋体"/>
          <w:szCs w:val="21"/>
        </w:rPr>
        <w:t>（2）随同本投标函递交的投标函附录属于合同文件的组成部分。</w:t>
      </w:r>
    </w:p>
    <w:p>
      <w:pPr>
        <w:pStyle w:val="33"/>
        <w:rPr>
          <w:rFonts w:ascii="宋体" w:hAnsi="宋体"/>
          <w:szCs w:val="21"/>
        </w:rPr>
      </w:pPr>
      <w:r>
        <w:rPr>
          <w:rFonts w:ascii="宋体" w:hAnsi="宋体"/>
          <w:szCs w:val="21"/>
        </w:rPr>
        <w:t>4.我方在此声明，所递交的投标文件及有关资料内容完整、真实和准确，且不存在总则第9项通用否决条件规定的任何一种情形。</w:t>
      </w:r>
    </w:p>
    <w:p>
      <w:pPr>
        <w:pStyle w:val="33"/>
        <w:rPr>
          <w:rFonts w:ascii="宋体" w:hAnsi="宋体"/>
          <w:szCs w:val="21"/>
        </w:rPr>
      </w:pPr>
      <w:r>
        <w:rPr>
          <w:rFonts w:hint="eastAsia" w:ascii="宋体" w:hAnsi="宋体"/>
          <w:szCs w:val="21"/>
        </w:rPr>
        <w:t>5.在合同协议书正式签署生效之前，本投标函连同你方的中标通知书将构成我们双方之间共同遵守的文件，对双方具有约束力。</w:t>
      </w:r>
    </w:p>
    <w:p>
      <w:pPr>
        <w:pStyle w:val="33"/>
        <w:rPr>
          <w:rFonts w:ascii="宋体" w:hAnsi="宋体"/>
          <w:szCs w:val="21"/>
        </w:rPr>
      </w:pPr>
      <w:r>
        <w:rPr>
          <w:rFonts w:hint="eastAsia" w:ascii="宋体" w:hAnsi="宋体"/>
          <w:szCs w:val="21"/>
        </w:rPr>
        <w:t>6.                              （其他补充说明）。</w:t>
      </w:r>
    </w:p>
    <w:p>
      <w:pPr>
        <w:pStyle w:val="33"/>
        <w:rPr>
          <w:rFonts w:hint="default" w:ascii="宋体" w:hAnsi="宋体"/>
          <w:b w:val="0"/>
          <w:bCs w:val="0"/>
          <w:szCs w:val="21"/>
        </w:rPr>
      </w:pPr>
      <w:r>
        <w:rPr>
          <w:rFonts w:hint="eastAsia" w:ascii="宋体" w:hAnsi="宋体"/>
          <w:szCs w:val="21"/>
        </w:rPr>
        <w:t>7.报价</w:t>
      </w:r>
      <w:r>
        <w:rPr>
          <w:rFonts w:ascii="宋体" w:hAnsi="宋体"/>
          <w:szCs w:val="21"/>
        </w:rPr>
        <w:t>表格式如下，报价人需</w:t>
      </w:r>
      <w:r>
        <w:rPr>
          <w:rFonts w:ascii="宋体" w:hAnsi="宋体"/>
          <w:b/>
          <w:bCs/>
          <w:szCs w:val="21"/>
        </w:rPr>
        <w:t>逐项填写</w:t>
      </w:r>
      <w:r>
        <w:rPr>
          <w:rFonts w:ascii="宋体" w:hAnsi="宋体"/>
          <w:b w:val="0"/>
          <w:bCs w:val="0"/>
          <w:szCs w:val="21"/>
        </w:rPr>
        <w:t>含税单价、含税金额、税率、合计含税金额。</w:t>
      </w:r>
    </w:p>
    <w:p>
      <w:pPr>
        <w:pStyle w:val="33"/>
        <w:rPr>
          <w:rFonts w:ascii="宋体" w:hAnsi="宋体"/>
          <w:szCs w:val="21"/>
        </w:rPr>
      </w:pPr>
    </w:p>
    <w:p>
      <w:pPr>
        <w:pStyle w:val="33"/>
        <w:rPr>
          <w:rFonts w:ascii="宋体" w:hAnsi="宋体"/>
          <w:szCs w:val="21"/>
        </w:rPr>
      </w:pPr>
    </w:p>
    <w:p>
      <w:pPr>
        <w:jc w:val="left"/>
      </w:pPr>
      <w:r>
        <w:t xml:space="preserve">  </w:t>
      </w:r>
      <w:r>
        <w:rPr>
          <w:rFonts w:hint="eastAsia"/>
        </w:rPr>
        <w:t>报价</w:t>
      </w:r>
      <w:r>
        <w:t>人</w:t>
      </w:r>
      <w:r>
        <w:rPr>
          <w:rFonts w:hint="eastAsia"/>
        </w:rPr>
        <w:t>（盖公章）</w:t>
      </w:r>
      <w:r>
        <w:t>：</w:t>
      </w:r>
    </w:p>
    <w:p>
      <w:pPr>
        <w:jc w:val="left"/>
      </w:pPr>
    </w:p>
    <w:p>
      <w:pPr>
        <w:ind w:firstLine="105" w:firstLineChars="50"/>
        <w:jc w:val="left"/>
      </w:pPr>
      <w:r>
        <w:t>法定代表人（或授权代表）签字</w:t>
      </w:r>
      <w:r>
        <w:rPr>
          <w:rFonts w:hint="eastAsia"/>
        </w:rPr>
        <w:t>：</w:t>
      </w:r>
    </w:p>
    <w:p>
      <w:pPr>
        <w:jc w:val="left"/>
      </w:pPr>
    </w:p>
    <w:p>
      <w:pPr>
        <w:pStyle w:val="2"/>
        <w:ind w:right="420" w:firstLine="0" w:firstLineChars="0"/>
        <w:jc w:val="left"/>
        <w:rPr>
          <w:kern w:val="2"/>
          <w:sz w:val="21"/>
          <w:szCs w:val="24"/>
        </w:rPr>
      </w:pPr>
      <w:r>
        <w:rPr>
          <w:kern w:val="2"/>
          <w:sz w:val="21"/>
          <w:szCs w:val="24"/>
        </w:rPr>
        <w:t xml:space="preserve">  日</w:t>
      </w:r>
      <w:r>
        <w:rPr>
          <w:rFonts w:hint="eastAsia"/>
          <w:kern w:val="2"/>
          <w:sz w:val="21"/>
          <w:szCs w:val="24"/>
        </w:rPr>
        <w:t>期：</w:t>
      </w:r>
    </w:p>
    <w:p>
      <w:pPr>
        <w:bidi w:val="0"/>
      </w:pPr>
    </w:p>
    <w:p>
      <w:pPr>
        <w:bidi w:val="0"/>
        <w:rPr>
          <w:rFonts w:hint="eastAsia"/>
        </w:rPr>
      </w:pPr>
    </w:p>
    <w:p>
      <w:pPr>
        <w:pStyle w:val="2"/>
        <w:rPr>
          <w:rFonts w:hint="eastAsia"/>
        </w:rPr>
      </w:pPr>
    </w:p>
    <w:p>
      <w:pPr>
        <w:pStyle w:val="2"/>
        <w:rPr>
          <w:rFonts w:hint="eastAsia"/>
        </w:rPr>
      </w:pPr>
    </w:p>
    <w:p>
      <w:pPr>
        <w:rPr>
          <w:rFonts w:hint="eastAsia"/>
          <w:sz w:val="30"/>
          <w:szCs w:val="30"/>
        </w:rPr>
      </w:pPr>
    </w:p>
    <w:p>
      <w:pPr>
        <w:bidi w:val="0"/>
        <w:rPr>
          <w:rFonts w:hint="eastAsia"/>
        </w:rPr>
      </w:pPr>
    </w:p>
    <w:p>
      <w:pPr>
        <w:rPr>
          <w:rFonts w:hint="eastAsia"/>
          <w:sz w:val="30"/>
          <w:szCs w:val="30"/>
        </w:rPr>
      </w:pPr>
    </w:p>
    <w:p>
      <w:pPr>
        <w:pStyle w:val="12"/>
        <w:jc w:val="both"/>
        <w:rPr>
          <w:rFonts w:hint="eastAsia" w:asciiTheme="minorEastAsia" w:hAnsiTheme="minorEastAsia" w:eastAsiaTheme="minorEastAsia"/>
          <w:b/>
          <w:sz w:val="24"/>
          <w:szCs w:val="24"/>
        </w:rPr>
      </w:pPr>
    </w:p>
    <w:p>
      <w:pPr>
        <w:pStyle w:val="12"/>
        <w:jc w:val="center"/>
        <w:rPr>
          <w:rFonts w:hint="eastAsia" w:asciiTheme="minorEastAsia" w:hAnsiTheme="minorEastAsia" w:eastAsiaTheme="minorEastAsia"/>
          <w:b/>
          <w:sz w:val="24"/>
          <w:szCs w:val="24"/>
        </w:rPr>
      </w:pPr>
    </w:p>
    <w:p>
      <w:pPr>
        <w:pStyle w:val="12"/>
        <w:jc w:val="center"/>
        <w:outlineLvl w:val="1"/>
        <w:rPr>
          <w:rFonts w:hint="eastAsia" w:asciiTheme="minorEastAsia" w:hAnsiTheme="minorEastAsia" w:eastAsiaTheme="minorEastAsia"/>
          <w:b/>
          <w:sz w:val="24"/>
          <w:szCs w:val="24"/>
        </w:rPr>
      </w:pPr>
      <w:bookmarkStart w:id="4" w:name="_Toc25578"/>
      <w:r>
        <w:rPr>
          <w:rFonts w:hint="eastAsia" w:asciiTheme="minorEastAsia" w:hAnsiTheme="minorEastAsia" w:eastAsiaTheme="minorEastAsia"/>
          <w:b/>
          <w:sz w:val="24"/>
          <w:szCs w:val="24"/>
          <w:lang w:val="en-US" w:eastAsia="zh-CN"/>
        </w:rPr>
        <w:t>格式二</w:t>
      </w:r>
      <w:r>
        <w:rPr>
          <w:rFonts w:asciiTheme="minorEastAsia" w:hAnsiTheme="minorEastAsia" w:eastAsiaTheme="minorEastAsia"/>
          <w:b/>
          <w:sz w:val="24"/>
          <w:szCs w:val="24"/>
        </w:rPr>
        <w:t>、</w:t>
      </w:r>
      <w:r>
        <w:rPr>
          <w:rFonts w:hint="eastAsia" w:asciiTheme="minorEastAsia" w:hAnsiTheme="minorEastAsia" w:eastAsiaTheme="minorEastAsia"/>
          <w:b/>
          <w:sz w:val="24"/>
          <w:szCs w:val="24"/>
          <w:lang w:val="en-US" w:eastAsia="zh-CN"/>
        </w:rPr>
        <w:t>红外测温系统安装项目工程</w:t>
      </w:r>
      <w:r>
        <w:rPr>
          <w:rFonts w:hint="eastAsia" w:asciiTheme="minorEastAsia" w:hAnsiTheme="minorEastAsia" w:eastAsiaTheme="minorEastAsia"/>
          <w:b/>
          <w:sz w:val="24"/>
          <w:szCs w:val="24"/>
        </w:rPr>
        <w:t>设备材料及安装报价清单</w:t>
      </w:r>
      <w:bookmarkEnd w:id="4"/>
    </w:p>
    <w:p>
      <w:pPr>
        <w:pStyle w:val="12"/>
        <w:jc w:val="both"/>
        <w:outlineLvl w:val="1"/>
        <w:rPr>
          <w:rFonts w:hint="eastAsia" w:asciiTheme="minorEastAsia" w:hAnsiTheme="minorEastAsia" w:eastAsiaTheme="minorEastAsia"/>
          <w:b/>
          <w:sz w:val="24"/>
          <w:szCs w:val="24"/>
        </w:rPr>
      </w:pP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5"/>
        <w:gridCol w:w="1252"/>
        <w:gridCol w:w="1455"/>
        <w:gridCol w:w="445"/>
        <w:gridCol w:w="445"/>
        <w:gridCol w:w="675"/>
        <w:gridCol w:w="562"/>
        <w:gridCol w:w="792"/>
        <w:gridCol w:w="2003"/>
        <w:gridCol w:w="4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规格参数</w:t>
            </w:r>
          </w:p>
        </w:tc>
        <w:tc>
          <w:tcPr>
            <w:tcW w:w="2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2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税率</w:t>
            </w: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总价（元）</w:t>
            </w:r>
          </w:p>
        </w:tc>
        <w:tc>
          <w:tcPr>
            <w:tcW w:w="11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品牌</w:t>
            </w:r>
          </w:p>
        </w:tc>
        <w:tc>
          <w:tcPr>
            <w:tcW w:w="2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红外多人多感测温仪</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200万热成像测温摄像机</w:t>
            </w:r>
          </w:p>
        </w:tc>
        <w:tc>
          <w:tcPr>
            <w:tcW w:w="2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1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CW-V88  ，DM23深圳，CW19C8上海</w:t>
            </w:r>
          </w:p>
        </w:tc>
        <w:tc>
          <w:tcPr>
            <w:tcW w:w="2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pStyle w:val="12"/>
        <w:jc w:val="both"/>
        <w:outlineLvl w:val="1"/>
        <w:rPr>
          <w:rFonts w:hint="eastAsia" w:asciiTheme="minorEastAsia" w:hAnsiTheme="minorEastAsia" w:eastAsiaTheme="minorEastAsia"/>
          <w:b/>
          <w:sz w:val="24"/>
          <w:szCs w:val="24"/>
        </w:rPr>
      </w:pPr>
    </w:p>
    <w:p>
      <w:pPr>
        <w:pStyle w:val="20"/>
        <w:ind w:firstLine="211"/>
        <w:rPr>
          <w:rFonts w:ascii="宋体" w:hAnsi="宋体" w:cs="宋体"/>
          <w:b/>
          <w:bCs/>
          <w:color w:val="000000"/>
          <w:kern w:val="0"/>
          <w:szCs w:val="21"/>
        </w:rPr>
      </w:pPr>
      <w:r>
        <w:rPr>
          <w:rFonts w:hint="eastAsia" w:ascii="宋体" w:hAnsi="宋体" w:cs="宋体"/>
          <w:b/>
          <w:bCs/>
          <w:color w:val="000000"/>
          <w:kern w:val="0"/>
          <w:szCs w:val="21"/>
        </w:rPr>
        <w:t xml:space="preserve">                                             </w:t>
      </w:r>
      <w:r>
        <w:rPr>
          <w:rFonts w:ascii="宋体" w:hAnsi="宋体" w:cs="宋体"/>
          <w:b/>
          <w:bCs/>
          <w:color w:val="000000"/>
          <w:kern w:val="0"/>
          <w:szCs w:val="21"/>
        </w:rPr>
        <w:t xml:space="preserve"> </w:t>
      </w:r>
      <w:r>
        <w:rPr>
          <w:rFonts w:hint="eastAsia" w:ascii="宋体" w:hAnsi="宋体" w:cs="宋体"/>
          <w:b/>
          <w:bCs/>
          <w:color w:val="000000"/>
          <w:kern w:val="0"/>
          <w:szCs w:val="21"/>
        </w:rPr>
        <w:t xml:space="preserve">     </w:t>
      </w:r>
      <w:r>
        <w:rPr>
          <w:rFonts w:ascii="宋体" w:hAnsi="宋体" w:cs="宋体"/>
          <w:b/>
          <w:bCs/>
          <w:color w:val="000000"/>
          <w:kern w:val="0"/>
          <w:szCs w:val="21"/>
        </w:rPr>
        <w:t xml:space="preserve">            </w:t>
      </w:r>
      <w:r>
        <w:rPr>
          <w:rFonts w:hint="eastAsia" w:ascii="宋体" w:hAnsi="宋体" w:cs="宋体"/>
          <w:b/>
          <w:bCs/>
          <w:color w:val="000000"/>
          <w:kern w:val="0"/>
          <w:szCs w:val="21"/>
        </w:rPr>
        <w:t>单位：</w:t>
      </w:r>
      <w:r>
        <w:rPr>
          <w:rFonts w:hint="eastAsia" w:ascii="宋体" w:hAnsi="宋体" w:cs="宋体"/>
          <w:b/>
          <w:bCs/>
          <w:color w:val="000000"/>
          <w:kern w:val="0"/>
          <w:szCs w:val="21"/>
          <w:lang w:val="en-US" w:eastAsia="zh-CN"/>
        </w:rPr>
        <w:t xml:space="preserve">    </w:t>
      </w:r>
      <w:r>
        <w:rPr>
          <w:rFonts w:hint="eastAsia" w:ascii="宋体" w:hAnsi="宋体" w:cs="宋体"/>
          <w:b/>
          <w:bCs/>
          <w:color w:val="000000"/>
          <w:kern w:val="0"/>
          <w:szCs w:val="21"/>
        </w:rPr>
        <w:t>元</w:t>
      </w:r>
    </w:p>
    <w:p>
      <w:pPr>
        <w:pStyle w:val="20"/>
        <w:ind w:firstLine="211"/>
        <w:rPr>
          <w:rFonts w:hint="eastAsia" w:ascii="宋体" w:hAnsi="宋体" w:eastAsia="宋体" w:cs="宋体"/>
          <w:sz w:val="18"/>
          <w:szCs w:val="18"/>
        </w:rPr>
      </w:pPr>
    </w:p>
    <w:p>
      <w:pPr>
        <w:numPr>
          <w:ilvl w:val="0"/>
          <w:numId w:val="0"/>
        </w:numPr>
        <w:bidi w:val="0"/>
        <w:jc w:val="left"/>
        <w:rPr>
          <w:rFonts w:hint="eastAsia" w:ascii="宋体" w:hAnsi="宋体" w:eastAsia="宋体" w:cs="宋体"/>
          <w:color w:val="000000"/>
          <w:highlight w:val="none"/>
        </w:rPr>
      </w:pPr>
    </w:p>
    <w:p>
      <w:pPr>
        <w:numPr>
          <w:ilvl w:val="0"/>
          <w:numId w:val="2"/>
        </w:numPr>
        <w:bidi w:val="0"/>
        <w:jc w:val="left"/>
        <w:rPr>
          <w:rFonts w:hint="eastAsia" w:ascii="宋体" w:hAnsi="宋体" w:eastAsia="宋体" w:cs="宋体"/>
          <w:color w:val="000000"/>
          <w:highlight w:val="none"/>
        </w:rPr>
      </w:pPr>
      <w:r>
        <w:rPr>
          <w:rFonts w:hint="eastAsia" w:ascii="宋体" w:hAnsi="宋体" w:eastAsia="宋体" w:cs="宋体"/>
          <w:color w:val="000000"/>
          <w:highlight w:val="none"/>
        </w:rPr>
        <w:t>以上报价包括但不限于此次</w:t>
      </w:r>
      <w:r>
        <w:rPr>
          <w:rFonts w:hint="eastAsia" w:ascii="宋体" w:hAnsi="宋体" w:cs="宋体"/>
          <w:color w:val="000000"/>
          <w:highlight w:val="none"/>
          <w:lang w:val="en-US" w:eastAsia="zh-CN"/>
        </w:rPr>
        <w:t>红外测温系统安装项目</w:t>
      </w:r>
      <w:r>
        <w:rPr>
          <w:rFonts w:hint="eastAsia" w:ascii="宋体" w:hAnsi="宋体" w:eastAsia="宋体" w:cs="宋体"/>
          <w:lang w:val="en-US" w:eastAsia="zh-CN"/>
        </w:rPr>
        <w:t>工程</w:t>
      </w:r>
      <w:r>
        <w:rPr>
          <w:rFonts w:hint="eastAsia" w:ascii="宋体" w:hAnsi="宋体" w:eastAsia="宋体" w:cs="宋体"/>
          <w:color w:val="000000"/>
          <w:highlight w:val="none"/>
        </w:rPr>
        <w:t>的设备采购、运输、施工、安装、调试所需的劳务、安全措施费、管理费、保险、税费、利润等一切费用。</w:t>
      </w:r>
    </w:p>
    <w:p>
      <w:pPr>
        <w:numPr>
          <w:ilvl w:val="0"/>
          <w:numId w:val="2"/>
        </w:numPr>
        <w:bidi w:val="0"/>
        <w:rPr>
          <w:rFonts w:hint="eastAsia"/>
        </w:rPr>
      </w:pPr>
      <w:r>
        <w:rPr>
          <w:rFonts w:hint="default"/>
        </w:rPr>
        <w:t>以上数量为询价人预计数量，供</w:t>
      </w:r>
      <w:r>
        <w:rPr>
          <w:rFonts w:hint="eastAsia"/>
          <w:lang w:val="en-US" w:eastAsia="zh-CN"/>
        </w:rPr>
        <w:t>报价</w:t>
      </w:r>
      <w:r>
        <w:rPr>
          <w:rFonts w:hint="default"/>
        </w:rPr>
        <w:t>人参考。报价后，结算价格不做调整。</w:t>
      </w:r>
    </w:p>
    <w:p>
      <w:pPr>
        <w:pStyle w:val="34"/>
        <w:jc w:val="left"/>
      </w:pPr>
    </w:p>
    <w:p>
      <w:pPr>
        <w:pStyle w:val="34"/>
        <w:jc w:val="left"/>
      </w:pPr>
    </w:p>
    <w:p>
      <w:pPr>
        <w:jc w:val="left"/>
      </w:pPr>
      <w:r>
        <w:rPr>
          <w:rFonts w:hint="eastAsia"/>
        </w:rPr>
        <w:t>报价</w:t>
      </w:r>
      <w:r>
        <w:t>人</w:t>
      </w:r>
      <w:r>
        <w:rPr>
          <w:rFonts w:hint="eastAsia"/>
        </w:rPr>
        <w:t>（盖公章）</w:t>
      </w:r>
      <w:r>
        <w:t>：</w:t>
      </w:r>
    </w:p>
    <w:p>
      <w:pPr>
        <w:jc w:val="left"/>
      </w:pPr>
    </w:p>
    <w:p>
      <w:pPr>
        <w:jc w:val="left"/>
      </w:pPr>
      <w:r>
        <w:t>法定代表人（或授权代表）签字</w:t>
      </w:r>
      <w:r>
        <w:rPr>
          <w:rFonts w:hint="eastAsia"/>
        </w:rPr>
        <w:t>：</w:t>
      </w:r>
    </w:p>
    <w:p>
      <w:pPr>
        <w:jc w:val="left"/>
      </w:pPr>
    </w:p>
    <w:p>
      <w:pPr>
        <w:pStyle w:val="2"/>
        <w:ind w:right="420" w:firstLine="0" w:firstLineChars="0"/>
        <w:jc w:val="left"/>
        <w:rPr>
          <w:rFonts w:hint="eastAsia"/>
          <w:kern w:val="2"/>
          <w:sz w:val="21"/>
          <w:szCs w:val="24"/>
        </w:rPr>
      </w:pPr>
      <w:r>
        <w:rPr>
          <w:kern w:val="2"/>
          <w:sz w:val="21"/>
          <w:szCs w:val="24"/>
        </w:rPr>
        <w:t>日</w:t>
      </w:r>
      <w:r>
        <w:rPr>
          <w:rFonts w:hint="eastAsia"/>
          <w:kern w:val="2"/>
          <w:sz w:val="21"/>
          <w:szCs w:val="24"/>
        </w:rPr>
        <w:t>期：</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rPr>
          <w:rFonts w:hint="eastAsia" w:ascii="宋体" w:hAnsi="宋体" w:eastAsia="宋体" w:cs="宋体"/>
          <w:color w:val="auto"/>
          <w:sz w:val="24"/>
          <w:szCs w:val="24"/>
        </w:rPr>
      </w:pPr>
    </w:p>
    <w:p>
      <w:pPr>
        <w:pStyle w:val="20"/>
        <w:rPr>
          <w:rFonts w:hint="eastAsia"/>
        </w:rPr>
      </w:pPr>
    </w:p>
    <w:p>
      <w:pPr>
        <w:bidi w:val="0"/>
        <w:rPr>
          <w:rFonts w:hint="eastAsia"/>
        </w:rPr>
      </w:pPr>
    </w:p>
    <w:p>
      <w:pPr>
        <w:rPr>
          <w:rFonts w:hint="eastAsia" w:ascii="宋体" w:hAnsi="宋体" w:eastAsia="宋体" w:cs="宋体"/>
          <w:color w:val="auto"/>
          <w:sz w:val="24"/>
          <w:szCs w:val="24"/>
        </w:rPr>
      </w:pPr>
    </w:p>
    <w:p>
      <w:pPr>
        <w:pStyle w:val="20"/>
        <w:rPr>
          <w:rFonts w:hint="eastAsia"/>
        </w:rPr>
      </w:pP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pPr>
        <w:pStyle w:val="5"/>
        <w:jc w:val="center"/>
        <w:rPr>
          <w:rFonts w:hint="eastAsia" w:ascii="宋体" w:hAnsi="宋体" w:eastAsia="宋体" w:cs="宋体"/>
          <w:color w:val="auto"/>
          <w:sz w:val="24"/>
          <w:szCs w:val="24"/>
        </w:rPr>
      </w:pPr>
      <w:bookmarkStart w:id="5" w:name="_Toc23922"/>
      <w:r>
        <w:rPr>
          <w:rFonts w:hint="eastAsia" w:ascii="宋体" w:hAnsi="宋体" w:eastAsia="宋体" w:cs="宋体"/>
          <w:color w:val="auto"/>
          <w:sz w:val="24"/>
          <w:szCs w:val="24"/>
        </w:rPr>
        <w:t>格式三、法定代表人资格证明书格式</w:t>
      </w:r>
      <w:bookmarkEnd w:id="5"/>
    </w:p>
    <w:p>
      <w:pPr>
        <w:rPr>
          <w:rFonts w:ascii="Calibri" w:hAnsi="Calibri" w:eastAsia="宋体" w:cs="Times New Roman"/>
        </w:rPr>
      </w:pPr>
    </w:p>
    <w:p>
      <w:pPr>
        <w:pStyle w:val="34"/>
      </w:pPr>
      <w:r>
        <w:rPr>
          <w:rFonts w:hint="eastAsia"/>
        </w:rPr>
        <w:t>法定代表人资格证书明</w:t>
      </w:r>
    </w:p>
    <w:p/>
    <w:p>
      <w:pPr>
        <w:autoSpaceDE w:val="0"/>
        <w:autoSpaceDN w:val="0"/>
        <w:adjustRightInd w:val="0"/>
        <w:snapToGrid w:val="0"/>
        <w:spacing w:line="360" w:lineRule="auto"/>
        <w:ind w:firstLine="459"/>
        <w:jc w:val="left"/>
        <w:rPr>
          <w:rFonts w:ascii="宋体" w:hAnsi="宋体" w:cs="宋体"/>
          <w:color w:val="000000"/>
          <w:kern w:val="24"/>
          <w:szCs w:val="21"/>
          <w:u w:val="single"/>
          <w:lang w:val="zh-CN"/>
        </w:rPr>
      </w:pPr>
      <w:r>
        <w:rPr>
          <w:rFonts w:hint="eastAsia" w:ascii="宋体" w:hAnsi="宋体" w:cs="宋体"/>
          <w:color w:val="000000"/>
          <w:kern w:val="24"/>
          <w:szCs w:val="21"/>
          <w:lang w:val="zh-CN"/>
        </w:rPr>
        <w:t>报价人名称：</w:t>
      </w:r>
      <w:r>
        <w:rPr>
          <w:rFonts w:hint="eastAsia" w:ascii="宋体" w:hAnsi="宋体" w:cs="宋体"/>
          <w:color w:val="000000"/>
          <w:kern w:val="24"/>
          <w:szCs w:val="21"/>
          <w:u w:val="single"/>
          <w:lang w:val="zh-CN"/>
        </w:rPr>
        <w:t xml:space="preserve">                              </w:t>
      </w:r>
    </w:p>
    <w:p>
      <w:pPr>
        <w:autoSpaceDE w:val="0"/>
        <w:autoSpaceDN w:val="0"/>
        <w:adjustRightInd w:val="0"/>
        <w:snapToGrid w:val="0"/>
        <w:spacing w:line="360" w:lineRule="auto"/>
        <w:ind w:firstLine="459"/>
        <w:jc w:val="left"/>
        <w:rPr>
          <w:rFonts w:ascii="宋体" w:hAnsi="宋体" w:cs="宋体"/>
          <w:color w:val="000000"/>
          <w:kern w:val="24"/>
          <w:szCs w:val="21"/>
          <w:lang w:val="zh-CN"/>
        </w:rPr>
      </w:pPr>
      <w:r>
        <w:rPr>
          <w:rFonts w:hint="eastAsia" w:ascii="宋体" w:hAnsi="宋体" w:cs="宋体"/>
          <w:color w:val="000000"/>
          <w:kern w:val="24"/>
          <w:szCs w:val="21"/>
          <w:lang w:val="zh-CN"/>
        </w:rPr>
        <w:t>地      址：</w:t>
      </w:r>
      <w:r>
        <w:rPr>
          <w:rFonts w:hint="eastAsia" w:ascii="宋体" w:hAnsi="宋体" w:cs="宋体"/>
          <w:color w:val="000000"/>
          <w:kern w:val="24"/>
          <w:szCs w:val="21"/>
          <w:u w:val="single"/>
          <w:lang w:val="zh-CN"/>
        </w:rPr>
        <w:t xml:space="preserve">                              </w:t>
      </w:r>
    </w:p>
    <w:p>
      <w:pPr>
        <w:autoSpaceDE w:val="0"/>
        <w:autoSpaceDN w:val="0"/>
        <w:adjustRightInd w:val="0"/>
        <w:snapToGrid w:val="0"/>
        <w:spacing w:line="360" w:lineRule="auto"/>
        <w:ind w:firstLine="459"/>
        <w:jc w:val="left"/>
        <w:rPr>
          <w:rFonts w:ascii="宋体" w:hAnsi="宋体" w:cs="宋体"/>
          <w:color w:val="000000"/>
          <w:kern w:val="24"/>
          <w:szCs w:val="21"/>
          <w:highlight w:val="none"/>
          <w:lang w:val="zh-CN"/>
        </w:rPr>
      </w:pPr>
      <w:r>
        <w:rPr>
          <w:rFonts w:hint="eastAsia" w:ascii="宋体" w:hAnsi="宋体" w:cs="宋体"/>
          <w:color w:val="000000"/>
          <w:kern w:val="24"/>
          <w:szCs w:val="21"/>
          <w:lang w:val="zh-CN"/>
        </w:rPr>
        <w:t>姓名：</w:t>
      </w:r>
      <w:r>
        <w:rPr>
          <w:rFonts w:hint="eastAsia" w:ascii="宋体" w:hAnsi="宋体" w:cs="宋体"/>
          <w:color w:val="000000"/>
          <w:kern w:val="24"/>
          <w:szCs w:val="21"/>
          <w:u w:val="single"/>
          <w:lang w:val="zh-CN"/>
        </w:rPr>
        <w:t xml:space="preserve">          </w:t>
      </w:r>
      <w:r>
        <w:rPr>
          <w:rFonts w:hint="eastAsia" w:ascii="宋体" w:hAnsi="宋体" w:cs="宋体"/>
          <w:color w:val="000000"/>
          <w:kern w:val="24"/>
          <w:szCs w:val="21"/>
          <w:lang w:val="zh-CN"/>
        </w:rPr>
        <w:t>性别：</w:t>
      </w:r>
      <w:r>
        <w:rPr>
          <w:rFonts w:hint="eastAsia" w:ascii="宋体" w:hAnsi="宋体" w:cs="宋体"/>
          <w:color w:val="000000"/>
          <w:kern w:val="24"/>
          <w:szCs w:val="21"/>
          <w:u w:val="single"/>
          <w:lang w:val="zh-CN"/>
        </w:rPr>
        <w:t xml:space="preserve">        </w:t>
      </w:r>
      <w:r>
        <w:rPr>
          <w:rFonts w:hint="eastAsia" w:ascii="宋体" w:hAnsi="宋体" w:cs="宋体"/>
          <w:color w:val="000000"/>
          <w:kern w:val="24"/>
          <w:szCs w:val="21"/>
          <w:lang w:val="zh-CN"/>
        </w:rPr>
        <w:t>年龄：</w:t>
      </w:r>
      <w:r>
        <w:rPr>
          <w:rFonts w:hint="eastAsia" w:ascii="宋体" w:hAnsi="宋体" w:cs="宋体"/>
          <w:color w:val="000000"/>
          <w:kern w:val="24"/>
          <w:szCs w:val="21"/>
          <w:u w:val="single"/>
          <w:lang w:val="zh-CN"/>
        </w:rPr>
        <w:t xml:space="preserve">           </w:t>
      </w:r>
      <w:r>
        <w:rPr>
          <w:rFonts w:hint="eastAsia" w:ascii="宋体" w:hAnsi="宋体" w:cs="宋体"/>
          <w:color w:val="000000"/>
          <w:kern w:val="24"/>
          <w:szCs w:val="21"/>
          <w:lang w:val="zh-CN"/>
        </w:rPr>
        <w:t>职务：</w:t>
      </w:r>
      <w:r>
        <w:rPr>
          <w:rFonts w:hint="eastAsia" w:ascii="宋体" w:hAnsi="宋体" w:cs="宋体"/>
          <w:color w:val="000000"/>
          <w:kern w:val="24"/>
          <w:szCs w:val="21"/>
          <w:u w:val="single"/>
          <w:lang w:val="zh-CN"/>
        </w:rPr>
        <w:t xml:space="preserve">            </w:t>
      </w:r>
    </w:p>
    <w:p>
      <w:pPr>
        <w:autoSpaceDE w:val="0"/>
        <w:autoSpaceDN w:val="0"/>
        <w:adjustRightInd w:val="0"/>
        <w:snapToGrid w:val="0"/>
        <w:spacing w:line="360" w:lineRule="auto"/>
        <w:ind w:firstLine="459"/>
        <w:jc w:val="left"/>
        <w:rPr>
          <w:rFonts w:ascii="宋体" w:hAnsi="宋体" w:cs="宋体"/>
          <w:color w:val="000000"/>
          <w:kern w:val="24"/>
          <w:szCs w:val="21"/>
          <w:lang w:val="zh-CN"/>
        </w:rPr>
      </w:pPr>
      <w:r>
        <w:rPr>
          <w:rFonts w:hint="eastAsia" w:ascii="宋体" w:hAnsi="宋体" w:cs="宋体"/>
          <w:color w:val="000000"/>
          <w:kern w:val="24"/>
          <w:szCs w:val="21"/>
          <w:highlight w:val="none"/>
          <w:lang w:val="zh-CN"/>
        </w:rPr>
        <w:t>系</w:t>
      </w:r>
      <w:r>
        <w:rPr>
          <w:rFonts w:hint="eastAsia" w:ascii="宋体" w:hAnsi="宋体" w:cs="宋体"/>
          <w:color w:val="000000"/>
          <w:kern w:val="24"/>
          <w:szCs w:val="21"/>
          <w:highlight w:val="none"/>
          <w:u w:val="single"/>
          <w:lang w:val="zh-CN"/>
        </w:rPr>
        <w:t xml:space="preserve">                      </w:t>
      </w:r>
      <w:r>
        <w:rPr>
          <w:rFonts w:hint="eastAsia" w:ascii="宋体" w:hAnsi="宋体" w:cs="宋体"/>
          <w:color w:val="000000"/>
          <w:kern w:val="24"/>
          <w:szCs w:val="21"/>
          <w:highlight w:val="none"/>
          <w:lang w:val="zh-CN"/>
        </w:rPr>
        <w:t>的法定代表人，为嘉兴杭州湾石油化工物流有限公司</w:t>
      </w:r>
      <w:r>
        <w:rPr>
          <w:rFonts w:hint="eastAsia" w:ascii="宋体" w:hAnsi="宋体" w:cs="宋体"/>
          <w:color w:val="000000"/>
          <w:kern w:val="24"/>
          <w:szCs w:val="21"/>
          <w:highlight w:val="none"/>
          <w:lang w:val="en-US" w:eastAsia="zh-CN"/>
        </w:rPr>
        <w:t>红外测温系统安装项目工程</w:t>
      </w:r>
      <w:r>
        <w:rPr>
          <w:rFonts w:hint="eastAsia" w:ascii="宋体" w:hAnsi="宋体" w:cs="宋体"/>
          <w:color w:val="000000"/>
          <w:kern w:val="24"/>
          <w:szCs w:val="21"/>
          <w:highlight w:val="none"/>
        </w:rPr>
        <w:t>项目的</w:t>
      </w:r>
      <w:r>
        <w:rPr>
          <w:rFonts w:hint="eastAsia" w:ascii="宋体" w:hAnsi="宋体" w:cs="宋体"/>
          <w:color w:val="000000"/>
          <w:kern w:val="24"/>
          <w:szCs w:val="21"/>
          <w:highlight w:val="none"/>
          <w:lang w:val="zh-CN"/>
        </w:rPr>
        <w:t>报价需要，签署上述报价文件，进行合同谈判，签署合同和处理</w:t>
      </w:r>
      <w:r>
        <w:rPr>
          <w:rFonts w:hint="eastAsia" w:ascii="宋体" w:hAnsi="宋体" w:cs="宋体"/>
          <w:color w:val="000000"/>
          <w:kern w:val="24"/>
          <w:szCs w:val="21"/>
          <w:lang w:val="zh-CN"/>
        </w:rPr>
        <w:t>与之有关的一切事务。特此证明。</w:t>
      </w:r>
    </w:p>
    <w:p>
      <w:pPr>
        <w:pStyle w:val="20"/>
        <w:ind w:firstLine="210"/>
        <w:rPr>
          <w:lang w:val="zh-CN"/>
        </w:rPr>
      </w:pPr>
    </w:p>
    <w:p>
      <w:r>
        <w:rPr>
          <w:rFonts w:hint="eastAsia"/>
        </w:rPr>
        <w:t>报价人（盖公章）</w:t>
      </w:r>
      <w:r>
        <w:t>：</w:t>
      </w:r>
    </w:p>
    <w:p/>
    <w:p>
      <w:r>
        <w:t>法定代表人（或授权代表）签字</w:t>
      </w:r>
      <w:r>
        <w:rPr>
          <w:rFonts w:hint="eastAsia"/>
        </w:rPr>
        <w:t>：</w:t>
      </w:r>
    </w:p>
    <w:p/>
    <w:p>
      <w:pPr>
        <w:pStyle w:val="2"/>
        <w:ind w:firstLine="0" w:firstLineChars="0"/>
        <w:rPr>
          <w:kern w:val="2"/>
          <w:sz w:val="21"/>
          <w:szCs w:val="24"/>
        </w:rPr>
        <w:sectPr>
          <w:footerReference r:id="rId7" w:type="default"/>
          <w:pgSz w:w="11906" w:h="16838"/>
          <w:pgMar w:top="1440" w:right="1800" w:bottom="1440" w:left="1800" w:header="851" w:footer="992" w:gutter="0"/>
          <w:pgNumType w:fmt="decimal" w:start="1"/>
          <w:cols w:space="720" w:num="1"/>
          <w:docGrid w:type="lines" w:linePitch="312" w:charSpace="0"/>
        </w:sectPr>
      </w:pPr>
      <w:r>
        <w:rPr>
          <w:kern w:val="2"/>
          <w:sz w:val="21"/>
          <w:szCs w:val="24"/>
        </w:rPr>
        <w:t>日</w:t>
      </w:r>
      <w:r>
        <w:rPr>
          <w:rFonts w:hint="eastAsia"/>
          <w:kern w:val="2"/>
          <w:sz w:val="21"/>
          <w:szCs w:val="24"/>
        </w:rPr>
        <w:t>期：</w:t>
      </w:r>
    </w:p>
    <w:p>
      <w:pPr>
        <w:pStyle w:val="5"/>
        <w:jc w:val="center"/>
        <w:rPr>
          <w:rFonts w:hint="eastAsia" w:ascii="宋体" w:hAnsi="宋体" w:eastAsia="宋体" w:cs="宋体"/>
          <w:color w:val="auto"/>
          <w:sz w:val="24"/>
          <w:szCs w:val="24"/>
        </w:rPr>
      </w:pPr>
      <w:bookmarkStart w:id="6" w:name="_Toc22797172"/>
      <w:bookmarkStart w:id="7" w:name="_Toc17632"/>
      <w:r>
        <w:rPr>
          <w:rFonts w:hint="eastAsia" w:ascii="宋体" w:hAnsi="宋体" w:eastAsia="宋体" w:cs="宋体"/>
          <w:color w:val="auto"/>
          <w:sz w:val="24"/>
          <w:szCs w:val="24"/>
        </w:rPr>
        <w:t>格式四、</w:t>
      </w:r>
      <w:bookmarkEnd w:id="6"/>
      <w:r>
        <w:rPr>
          <w:rFonts w:hint="eastAsia" w:ascii="宋体" w:hAnsi="宋体" w:eastAsia="宋体" w:cs="宋体"/>
          <w:color w:val="auto"/>
          <w:sz w:val="24"/>
          <w:szCs w:val="24"/>
        </w:rPr>
        <w:t>授权委托书格式</w:t>
      </w:r>
      <w:bookmarkEnd w:id="7"/>
    </w:p>
    <w:p>
      <w:pPr>
        <w:rPr>
          <w:rFonts w:hint="eastAsia" w:ascii="宋体" w:hAnsi="宋体" w:eastAsia="宋体" w:cs="宋体"/>
          <w:color w:val="auto"/>
          <w:sz w:val="24"/>
          <w:szCs w:val="24"/>
        </w:rPr>
      </w:pPr>
    </w:p>
    <w:p>
      <w:pPr>
        <w:pStyle w:val="34"/>
        <w:rPr>
          <w:rFonts w:hint="eastAsia" w:ascii="宋体" w:hAnsi="宋体" w:eastAsia="宋体" w:cs="宋体"/>
          <w:sz w:val="24"/>
          <w:szCs w:val="24"/>
          <w:lang w:val="zh-CN"/>
        </w:rPr>
      </w:pPr>
      <w:r>
        <w:rPr>
          <w:rFonts w:hint="eastAsia" w:ascii="宋体" w:hAnsi="宋体" w:eastAsia="宋体" w:cs="宋体"/>
          <w:sz w:val="24"/>
          <w:szCs w:val="24"/>
          <w:lang w:val="zh-CN"/>
        </w:rPr>
        <w:t>授权委托书</w:t>
      </w:r>
    </w:p>
    <w:p>
      <w:pPr>
        <w:pStyle w:val="34"/>
        <w:rPr>
          <w:rFonts w:hint="eastAsia" w:ascii="宋体" w:hAnsi="宋体" w:eastAsia="宋体" w:cs="宋体"/>
          <w:sz w:val="24"/>
          <w:szCs w:val="24"/>
          <w:lang w:val="zh-CN"/>
        </w:rPr>
      </w:pPr>
    </w:p>
    <w:p>
      <w:pPr>
        <w:autoSpaceDE w:val="0"/>
        <w:autoSpaceDN w:val="0"/>
        <w:adjustRightInd w:val="0"/>
        <w:snapToGrid w:val="0"/>
        <w:spacing w:line="360" w:lineRule="auto"/>
        <w:ind w:firstLine="459"/>
        <w:jc w:val="left"/>
        <w:rPr>
          <w:rFonts w:hint="eastAsia" w:ascii="宋体" w:hAnsi="宋体" w:eastAsia="宋体" w:cs="宋体"/>
          <w:color w:val="000000"/>
          <w:kern w:val="24"/>
          <w:szCs w:val="21"/>
          <w:highlight w:val="none"/>
          <w:lang w:val="zh-CN"/>
        </w:rPr>
      </w:pPr>
      <w:r>
        <w:rPr>
          <w:rFonts w:hint="eastAsia" w:ascii="宋体" w:hAnsi="宋体" w:eastAsia="宋体" w:cs="宋体"/>
          <w:color w:val="000000"/>
          <w:kern w:val="24"/>
          <w:szCs w:val="21"/>
          <w:lang w:val="zh-CN"/>
        </w:rPr>
        <w:t>本授权委托书声明：我</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(姓名)系</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 xml:space="preserve">(报价人名称)的法定代表人，现授权委托 </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(姓名)为我公司</w:t>
      </w:r>
      <w:r>
        <w:rPr>
          <w:rFonts w:hint="eastAsia" w:ascii="宋体" w:hAnsi="宋体" w:eastAsia="宋体" w:cs="宋体"/>
          <w:color w:val="000000"/>
          <w:kern w:val="24"/>
          <w:szCs w:val="21"/>
        </w:rPr>
        <w:t>授权代表</w:t>
      </w:r>
      <w:r>
        <w:rPr>
          <w:rFonts w:hint="eastAsia" w:ascii="宋体" w:hAnsi="宋体" w:eastAsia="宋体" w:cs="宋体"/>
          <w:color w:val="000000"/>
          <w:kern w:val="24"/>
          <w:szCs w:val="21"/>
          <w:lang w:val="zh-CN"/>
        </w:rPr>
        <w:t xml:space="preserve">，以本公司的名义参加(询价人) </w:t>
      </w:r>
      <w:r>
        <w:rPr>
          <w:rFonts w:hint="eastAsia" w:ascii="宋体" w:hAnsi="宋体" w:cs="宋体"/>
          <w:color w:val="000000"/>
          <w:kern w:val="24"/>
          <w:szCs w:val="21"/>
          <w:lang w:val="zh-CN"/>
        </w:rPr>
        <w:t>嘉兴杭州湾石油化工物流有限公司</w:t>
      </w:r>
      <w:r>
        <w:rPr>
          <w:rFonts w:hint="eastAsia" w:ascii="宋体" w:hAnsi="宋体" w:cs="宋体"/>
          <w:szCs w:val="21"/>
          <w:highlight w:val="none"/>
          <w:lang w:val="en-US" w:eastAsia="zh-CN"/>
        </w:rPr>
        <w:t>红外测温系统安装项目</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rPr>
        <w:t>项目</w:t>
      </w:r>
      <w:r>
        <w:rPr>
          <w:rFonts w:hint="eastAsia" w:ascii="宋体" w:hAnsi="宋体" w:eastAsia="宋体" w:cs="宋体"/>
          <w:color w:val="000000"/>
          <w:kern w:val="24"/>
          <w:szCs w:val="21"/>
          <w:highlight w:val="none"/>
          <w:lang w:val="zh-CN"/>
        </w:rPr>
        <w:t>的报价活动。</w:t>
      </w:r>
      <w:r>
        <w:rPr>
          <w:rFonts w:hint="eastAsia" w:ascii="宋体" w:hAnsi="宋体" w:eastAsia="宋体" w:cs="宋体"/>
          <w:color w:val="000000"/>
          <w:kern w:val="24"/>
          <w:szCs w:val="21"/>
          <w:highlight w:val="none"/>
        </w:rPr>
        <w:t>授权代表</w:t>
      </w:r>
      <w:r>
        <w:rPr>
          <w:rFonts w:hint="eastAsia" w:ascii="宋体" w:hAnsi="宋体" w:eastAsia="宋体" w:cs="宋体"/>
          <w:color w:val="000000"/>
          <w:kern w:val="24"/>
          <w:szCs w:val="21"/>
          <w:highlight w:val="none"/>
          <w:lang w:val="zh-CN"/>
        </w:rPr>
        <w:t>在询比价、合同谈判过程中所签署的一切文件和处理与之有关的一切事务，我均予以承认。</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lang w:val="zh-CN"/>
        </w:rPr>
      </w:pPr>
      <w:r>
        <w:rPr>
          <w:rFonts w:hint="eastAsia" w:ascii="宋体" w:hAnsi="宋体" w:eastAsia="宋体" w:cs="宋体"/>
          <w:color w:val="000000"/>
          <w:kern w:val="24"/>
          <w:szCs w:val="21"/>
        </w:rPr>
        <w:t>授权代表</w:t>
      </w:r>
      <w:r>
        <w:rPr>
          <w:rFonts w:hint="eastAsia" w:ascii="宋体" w:hAnsi="宋体" w:eastAsia="宋体" w:cs="宋体"/>
          <w:color w:val="000000"/>
          <w:kern w:val="24"/>
          <w:szCs w:val="21"/>
          <w:lang w:val="zh-CN"/>
        </w:rPr>
        <w:t>无转委权。特此委托。</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lang w:val="zh-CN"/>
        </w:rPr>
      </w:pPr>
      <w:r>
        <w:rPr>
          <w:rFonts w:hint="eastAsia" w:ascii="宋体" w:hAnsi="宋体" w:eastAsia="宋体" w:cs="宋体"/>
          <w:color w:val="000000"/>
          <w:kern w:val="24"/>
          <w:szCs w:val="21"/>
        </w:rPr>
        <w:t>授权代表</w:t>
      </w:r>
      <w:r>
        <w:rPr>
          <w:rFonts w:hint="eastAsia" w:ascii="宋体" w:hAnsi="宋体" w:eastAsia="宋体" w:cs="宋体"/>
          <w:color w:val="000000"/>
          <w:kern w:val="24"/>
          <w:szCs w:val="21"/>
          <w:lang w:val="zh-CN"/>
        </w:rPr>
        <w:t>：</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性别：</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年龄：</w:t>
      </w:r>
      <w:r>
        <w:rPr>
          <w:rFonts w:hint="eastAsia" w:ascii="宋体" w:hAnsi="宋体" w:eastAsia="宋体" w:cs="宋体"/>
          <w:color w:val="000000"/>
          <w:kern w:val="24"/>
          <w:szCs w:val="21"/>
          <w:u w:val="single"/>
          <w:lang w:val="zh-CN"/>
        </w:rPr>
        <w:t xml:space="preserve">          </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lang w:val="zh-CN"/>
        </w:rPr>
      </w:pPr>
      <w:r>
        <w:rPr>
          <w:rFonts w:hint="eastAsia" w:ascii="宋体" w:hAnsi="宋体" w:eastAsia="宋体" w:cs="宋体"/>
          <w:color w:val="000000"/>
          <w:kern w:val="24"/>
          <w:szCs w:val="21"/>
          <w:lang w:val="zh-CN"/>
        </w:rPr>
        <w:t>单  位：</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 xml:space="preserve"> 部门：</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职务：</w:t>
      </w:r>
      <w:r>
        <w:rPr>
          <w:rFonts w:hint="eastAsia" w:ascii="宋体" w:hAnsi="宋体" w:eastAsia="宋体" w:cs="宋体"/>
          <w:color w:val="000000"/>
          <w:kern w:val="24"/>
          <w:szCs w:val="21"/>
          <w:u w:val="single"/>
          <w:lang w:val="zh-CN"/>
        </w:rPr>
        <w:t xml:space="preserve">          </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lang w:val="zh-CN"/>
        </w:rPr>
      </w:pPr>
      <w:r>
        <w:rPr>
          <w:rFonts w:hint="eastAsia" w:ascii="宋体" w:hAnsi="宋体" w:eastAsia="宋体" w:cs="宋体"/>
          <w:color w:val="000000"/>
          <w:kern w:val="24"/>
          <w:szCs w:val="21"/>
          <w:lang w:val="zh-CN"/>
        </w:rPr>
        <w:t>报价人(盖章)：</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lang w:val="zh-CN"/>
        </w:rPr>
      </w:pPr>
      <w:r>
        <w:rPr>
          <w:rFonts w:hint="eastAsia" w:ascii="宋体" w:hAnsi="宋体" w:eastAsia="宋体" w:cs="宋体"/>
          <w:color w:val="000000"/>
          <w:kern w:val="24"/>
          <w:szCs w:val="21"/>
          <w:lang w:val="zh-CN"/>
        </w:rPr>
        <w:t>法定代表人(签字)：</w:t>
      </w:r>
    </w:p>
    <w:p>
      <w:pPr>
        <w:autoSpaceDE w:val="0"/>
        <w:autoSpaceDN w:val="0"/>
        <w:adjustRightInd w:val="0"/>
        <w:snapToGrid w:val="0"/>
        <w:spacing w:line="360" w:lineRule="auto"/>
        <w:ind w:firstLine="459"/>
        <w:jc w:val="left"/>
        <w:rPr>
          <w:rFonts w:hint="eastAsia" w:ascii="宋体" w:hAnsi="宋体" w:eastAsia="宋体" w:cs="宋体"/>
          <w:color w:val="000000"/>
          <w:kern w:val="24"/>
          <w:szCs w:val="21"/>
          <w:lang w:val="zh-CN"/>
        </w:rPr>
      </w:pPr>
      <w:r>
        <w:rPr>
          <w:rFonts w:hint="eastAsia" w:ascii="宋体" w:hAnsi="宋体" w:eastAsia="宋体" w:cs="宋体"/>
          <w:color w:val="000000"/>
          <w:kern w:val="24"/>
          <w:szCs w:val="21"/>
        </w:rPr>
        <w:t>授权代表</w:t>
      </w:r>
      <w:r>
        <w:rPr>
          <w:rFonts w:hint="eastAsia" w:ascii="宋体" w:hAnsi="宋体" w:eastAsia="宋体" w:cs="宋体"/>
          <w:color w:val="000000"/>
          <w:kern w:val="24"/>
          <w:szCs w:val="21"/>
          <w:lang w:val="zh-CN"/>
        </w:rPr>
        <w:t>(签字)：</w:t>
      </w:r>
    </w:p>
    <w:p>
      <w:pPr>
        <w:autoSpaceDE w:val="0"/>
        <w:autoSpaceDN w:val="0"/>
        <w:adjustRightInd w:val="0"/>
        <w:snapToGrid w:val="0"/>
        <w:spacing w:line="360" w:lineRule="auto"/>
        <w:ind w:firstLine="459"/>
        <w:jc w:val="left"/>
        <w:rPr>
          <w:rFonts w:hint="eastAsia" w:ascii="宋体" w:hAnsi="宋体" w:eastAsia="宋体" w:cs="宋体"/>
        </w:rPr>
      </w:pPr>
      <w:r>
        <w:rPr>
          <w:rFonts w:hint="eastAsia" w:ascii="宋体" w:hAnsi="宋体" w:eastAsia="宋体" w:cs="宋体"/>
          <w:color w:val="000000"/>
          <w:kern w:val="24"/>
          <w:szCs w:val="21"/>
          <w:lang w:val="zh-CN"/>
        </w:rPr>
        <w:t>日期：</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年</w:t>
      </w:r>
      <w:r>
        <w:rPr>
          <w:rFonts w:hint="eastAsia" w:ascii="宋体" w:hAnsi="宋体" w:eastAsia="宋体" w:cs="宋体"/>
          <w:color w:val="000000"/>
          <w:kern w:val="24"/>
          <w:szCs w:val="21"/>
          <w:u w:val="single"/>
          <w:lang w:val="zh-CN"/>
        </w:rPr>
        <w:t xml:space="preserve">        </w:t>
      </w:r>
      <w:r>
        <w:rPr>
          <w:rFonts w:hint="eastAsia" w:ascii="宋体" w:hAnsi="宋体" w:eastAsia="宋体" w:cs="宋体"/>
          <w:color w:val="000000"/>
          <w:kern w:val="24"/>
          <w:szCs w:val="21"/>
          <w:lang w:val="zh-CN"/>
        </w:rPr>
        <w:t>月</w:t>
      </w:r>
      <w:r>
        <w:rPr>
          <w:rFonts w:hint="eastAsia" w:ascii="宋体" w:hAnsi="宋体" w:eastAsia="宋体" w:cs="宋体"/>
          <w:color w:val="000000"/>
          <w:kern w:val="24"/>
          <w:szCs w:val="21"/>
          <w:u w:val="single"/>
          <w:lang w:val="zh-CN"/>
        </w:rPr>
        <w:t xml:space="preserve">        </w:t>
      </w:r>
    </w:p>
    <w:tbl>
      <w:tblPr>
        <w:tblStyle w:val="21"/>
        <w:tblW w:w="8522"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261"/>
        <w:gridCol w:w="4261"/>
      </w:tblGrid>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70" w:hRule="atLeast"/>
        </w:trPr>
        <w:tc>
          <w:tcPr>
            <w:tcW w:w="4261" w:type="dxa"/>
            <w:vAlign w:val="center"/>
          </w:tcPr>
          <w:p>
            <w:pPr>
              <w:snapToGrid w:val="0"/>
              <w:jc w:val="center"/>
            </w:pPr>
            <w:r>
              <w:rPr>
                <w:rFonts w:hint="eastAsia"/>
              </w:rPr>
              <w:t>法</w:t>
            </w:r>
            <w:r>
              <w:t>定代表人身份证复</w:t>
            </w:r>
            <w:r>
              <w:rPr>
                <w:rFonts w:hint="eastAsia"/>
              </w:rPr>
              <w:t>印</w:t>
            </w:r>
            <w:r>
              <w:t>件</w:t>
            </w:r>
            <w:r>
              <w:rPr>
                <w:rFonts w:hint="eastAsia"/>
              </w:rPr>
              <w:t>（正面）</w:t>
            </w:r>
          </w:p>
        </w:tc>
        <w:tc>
          <w:tcPr>
            <w:tcW w:w="4261" w:type="dxa"/>
            <w:vAlign w:val="center"/>
          </w:tcPr>
          <w:p>
            <w:pPr>
              <w:snapToGrid w:val="0"/>
              <w:jc w:val="center"/>
            </w:pPr>
            <w:r>
              <w:rPr>
                <w:rFonts w:hint="eastAsia"/>
              </w:rPr>
              <w:t>授权代表</w:t>
            </w:r>
            <w:r>
              <w:t>身份证复印件</w:t>
            </w:r>
            <w:r>
              <w:rPr>
                <w:rFonts w:hint="eastAsia"/>
              </w:rPr>
              <w:t>（正面）</w:t>
            </w:r>
          </w:p>
        </w:tc>
      </w:tr>
      <w:tr>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70" w:hRule="atLeast"/>
        </w:trPr>
        <w:tc>
          <w:tcPr>
            <w:tcW w:w="4261" w:type="dxa"/>
            <w:vAlign w:val="center"/>
          </w:tcPr>
          <w:p>
            <w:pPr>
              <w:snapToGrid w:val="0"/>
              <w:jc w:val="center"/>
            </w:pPr>
            <w:r>
              <w:rPr>
                <w:rFonts w:hint="eastAsia"/>
              </w:rPr>
              <w:t>法</w:t>
            </w:r>
            <w:r>
              <w:t>定代表人身份证复</w:t>
            </w:r>
            <w:r>
              <w:rPr>
                <w:rFonts w:hint="eastAsia"/>
              </w:rPr>
              <w:t>印</w:t>
            </w:r>
            <w:r>
              <w:t>件</w:t>
            </w:r>
            <w:r>
              <w:rPr>
                <w:rFonts w:hint="eastAsia"/>
              </w:rPr>
              <w:t>（反面）</w:t>
            </w:r>
          </w:p>
        </w:tc>
        <w:tc>
          <w:tcPr>
            <w:tcW w:w="4261" w:type="dxa"/>
            <w:vAlign w:val="center"/>
          </w:tcPr>
          <w:p>
            <w:pPr>
              <w:snapToGrid w:val="0"/>
              <w:jc w:val="center"/>
            </w:pPr>
            <w:r>
              <w:rPr>
                <w:rFonts w:hint="eastAsia"/>
              </w:rPr>
              <w:t>授权代表</w:t>
            </w:r>
            <w:r>
              <w:t>身份证复印件</w:t>
            </w:r>
            <w:r>
              <w:rPr>
                <w:rFonts w:hint="eastAsia"/>
              </w:rPr>
              <w:t>（反面）</w:t>
            </w:r>
          </w:p>
        </w:tc>
      </w:tr>
    </w:tbl>
    <w:p>
      <w:pPr>
        <w:outlineLvl w:val="1"/>
        <w:rPr>
          <w:rFonts w:hint="eastAsia"/>
          <w:b/>
          <w:bCs/>
          <w:color w:val="auto"/>
          <w:sz w:val="24"/>
          <w:szCs w:val="24"/>
        </w:rPr>
      </w:pPr>
      <w:bookmarkStart w:id="8" w:name="_Toc316638154"/>
      <w:bookmarkStart w:id="9" w:name="_Toc26309"/>
      <w:bookmarkStart w:id="10" w:name="_Toc27338276"/>
      <w:bookmarkStart w:id="11" w:name="_Toc22797175"/>
      <w:bookmarkStart w:id="12" w:name="_Toc5553"/>
      <w:r>
        <w:rPr>
          <w:rFonts w:hint="eastAsia"/>
          <w:b/>
          <w:bCs/>
          <w:color w:val="auto"/>
          <w:sz w:val="24"/>
          <w:szCs w:val="24"/>
        </w:rPr>
        <w:t>格式五、</w:t>
      </w:r>
      <w:bookmarkEnd w:id="8"/>
      <w:bookmarkEnd w:id="9"/>
      <w:bookmarkEnd w:id="10"/>
      <w:bookmarkEnd w:id="11"/>
      <w:r>
        <w:rPr>
          <w:rFonts w:hint="eastAsia"/>
          <w:b/>
          <w:bCs/>
          <w:color w:val="auto"/>
          <w:sz w:val="24"/>
          <w:szCs w:val="24"/>
        </w:rPr>
        <w:t>差异表格式</w:t>
      </w:r>
      <w:bookmarkEnd w:id="12"/>
    </w:p>
    <w:p>
      <w:pPr>
        <w:rPr>
          <w:rFonts w:hint="eastAsia"/>
          <w:color w:val="auto"/>
        </w:rPr>
      </w:pPr>
    </w:p>
    <w:p>
      <w:pPr>
        <w:pStyle w:val="9"/>
        <w:jc w:val="center"/>
        <w:rPr>
          <w:rFonts w:ascii="宋体" w:hAnsi="宋体" w:cs="宋体"/>
          <w:b/>
        </w:rPr>
      </w:pPr>
      <w:r>
        <w:rPr>
          <w:rFonts w:hint="eastAsia" w:ascii="宋体" w:hAnsi="宋体" w:cs="宋体"/>
          <w:b/>
        </w:rPr>
        <w:t>差 异 表</w:t>
      </w:r>
    </w:p>
    <w:p>
      <w:pPr>
        <w:ind w:firstLine="210" w:firstLineChars="100"/>
        <w:rPr>
          <w:rFonts w:ascii="宋体" w:hAnsi="宋体" w:cs="宋体"/>
          <w:szCs w:val="21"/>
        </w:rPr>
      </w:pPr>
      <w:r>
        <w:rPr>
          <w:rFonts w:hint="eastAsia" w:ascii="宋体" w:hAnsi="宋体" w:cs="宋体"/>
          <w:szCs w:val="21"/>
        </w:rPr>
        <w:t>如无差异则在下方签字、盖章即可。</w:t>
      </w:r>
    </w:p>
    <w:tbl>
      <w:tblPr>
        <w:tblStyle w:val="21"/>
        <w:tblpPr w:leftFromText="180" w:rightFromText="180" w:vertAnchor="text" w:horzAnchor="margin" w:tblpXSpec="center" w:tblpY="-1"/>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773"/>
        <w:gridCol w:w="1995"/>
        <w:gridCol w:w="1995"/>
        <w:gridCol w:w="1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855" w:type="dxa"/>
            <w:vAlign w:val="center"/>
          </w:tcPr>
          <w:p>
            <w:pPr>
              <w:pStyle w:val="9"/>
              <w:rPr>
                <w:rFonts w:ascii="宋体" w:hAnsi="宋体" w:cs="宋体"/>
                <w:b/>
              </w:rPr>
            </w:pPr>
            <w:r>
              <w:rPr>
                <w:rFonts w:hint="eastAsia" w:ascii="宋体" w:hAnsi="宋体" w:cs="宋体"/>
                <w:b/>
              </w:rPr>
              <w:t>序号</w:t>
            </w:r>
          </w:p>
        </w:tc>
        <w:tc>
          <w:tcPr>
            <w:tcW w:w="3768" w:type="dxa"/>
            <w:gridSpan w:val="2"/>
            <w:vAlign w:val="center"/>
          </w:tcPr>
          <w:p>
            <w:pPr>
              <w:pStyle w:val="9"/>
              <w:jc w:val="center"/>
              <w:rPr>
                <w:rFonts w:ascii="宋体" w:hAnsi="宋体" w:cs="宋体"/>
                <w:b/>
              </w:rPr>
            </w:pPr>
            <w:r>
              <w:rPr>
                <w:rFonts w:hint="eastAsia" w:ascii="宋体" w:hAnsi="宋体" w:cs="宋体"/>
                <w:b/>
              </w:rPr>
              <w:t>询价文件</w:t>
            </w:r>
          </w:p>
        </w:tc>
        <w:tc>
          <w:tcPr>
            <w:tcW w:w="3775" w:type="dxa"/>
            <w:gridSpan w:val="2"/>
            <w:vAlign w:val="center"/>
          </w:tcPr>
          <w:p>
            <w:pPr>
              <w:pStyle w:val="9"/>
              <w:jc w:val="center"/>
              <w:rPr>
                <w:rFonts w:ascii="宋体" w:hAnsi="宋体" w:cs="宋体"/>
                <w:b/>
              </w:rPr>
            </w:pPr>
            <w:r>
              <w:rPr>
                <w:rFonts w:hint="eastAsia" w:ascii="宋体" w:hAnsi="宋体" w:cs="宋体"/>
                <w:b/>
              </w:rPr>
              <w:t>差  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55" w:type="dxa"/>
            <w:vAlign w:val="center"/>
          </w:tcPr>
          <w:p>
            <w:pPr>
              <w:pStyle w:val="9"/>
              <w:jc w:val="center"/>
              <w:rPr>
                <w:rFonts w:ascii="宋体" w:hAnsi="宋体" w:cs="宋体"/>
              </w:rPr>
            </w:pPr>
            <w:r>
              <w:rPr>
                <w:rFonts w:hint="eastAsia" w:ascii="宋体" w:hAnsi="宋体" w:cs="宋体"/>
              </w:rPr>
              <w:t>1</w:t>
            </w:r>
          </w:p>
        </w:tc>
        <w:tc>
          <w:tcPr>
            <w:tcW w:w="1773" w:type="dxa"/>
            <w:vAlign w:val="center"/>
          </w:tcPr>
          <w:p>
            <w:pPr>
              <w:pStyle w:val="9"/>
              <w:jc w:val="center"/>
              <w:rPr>
                <w:rFonts w:ascii="宋体" w:hAnsi="宋体" w:cs="宋体"/>
              </w:rPr>
            </w:pPr>
            <w:r>
              <w:rPr>
                <w:rFonts w:hint="eastAsia" w:ascii="宋体" w:hAnsi="宋体" w:cs="宋体"/>
              </w:rPr>
              <w:t>条  目</w:t>
            </w:r>
          </w:p>
        </w:tc>
        <w:tc>
          <w:tcPr>
            <w:tcW w:w="1995" w:type="dxa"/>
            <w:vAlign w:val="center"/>
          </w:tcPr>
          <w:p>
            <w:pPr>
              <w:pStyle w:val="9"/>
              <w:jc w:val="center"/>
              <w:rPr>
                <w:rFonts w:ascii="宋体" w:hAnsi="宋体" w:cs="宋体"/>
              </w:rPr>
            </w:pPr>
            <w:r>
              <w:rPr>
                <w:rFonts w:hint="eastAsia" w:ascii="宋体" w:hAnsi="宋体" w:cs="宋体"/>
              </w:rPr>
              <w:t>简要内容</w:t>
            </w:r>
          </w:p>
        </w:tc>
        <w:tc>
          <w:tcPr>
            <w:tcW w:w="1995" w:type="dxa"/>
            <w:vAlign w:val="center"/>
          </w:tcPr>
          <w:p>
            <w:pPr>
              <w:pStyle w:val="9"/>
              <w:jc w:val="center"/>
              <w:rPr>
                <w:rFonts w:ascii="宋体" w:hAnsi="宋体" w:cs="宋体"/>
              </w:rPr>
            </w:pPr>
            <w:r>
              <w:rPr>
                <w:rFonts w:hint="eastAsia" w:ascii="宋体" w:hAnsi="宋体" w:cs="宋体"/>
              </w:rPr>
              <w:t>条  目</w:t>
            </w:r>
          </w:p>
        </w:tc>
        <w:tc>
          <w:tcPr>
            <w:tcW w:w="1780" w:type="dxa"/>
            <w:vAlign w:val="center"/>
          </w:tcPr>
          <w:p>
            <w:pPr>
              <w:pStyle w:val="9"/>
              <w:jc w:val="center"/>
              <w:rPr>
                <w:rFonts w:ascii="宋体" w:hAnsi="宋体" w:cs="宋体"/>
              </w:rPr>
            </w:pPr>
            <w:r>
              <w:rPr>
                <w:rFonts w:hint="eastAsia" w:ascii="宋体" w:hAnsi="宋体" w:cs="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 w:type="dxa"/>
            <w:vAlign w:val="center"/>
          </w:tcPr>
          <w:p>
            <w:pPr>
              <w:pStyle w:val="9"/>
              <w:jc w:val="center"/>
              <w:rPr>
                <w:rFonts w:ascii="宋体" w:hAnsi="宋体" w:cs="宋体"/>
              </w:rPr>
            </w:pPr>
            <w:r>
              <w:rPr>
                <w:rFonts w:hint="eastAsia" w:ascii="宋体" w:hAnsi="宋体" w:cs="宋体"/>
              </w:rPr>
              <w:t>2</w:t>
            </w:r>
          </w:p>
        </w:tc>
        <w:tc>
          <w:tcPr>
            <w:tcW w:w="1773" w:type="dxa"/>
            <w:vAlign w:val="center"/>
          </w:tcPr>
          <w:p>
            <w:pPr>
              <w:pStyle w:val="9"/>
              <w:jc w:val="center"/>
              <w:rPr>
                <w:rFonts w:ascii="宋体" w:hAnsi="宋体" w:cs="宋体"/>
              </w:rPr>
            </w:pPr>
          </w:p>
        </w:tc>
        <w:tc>
          <w:tcPr>
            <w:tcW w:w="1995" w:type="dxa"/>
            <w:vAlign w:val="center"/>
          </w:tcPr>
          <w:p>
            <w:pPr>
              <w:pStyle w:val="9"/>
              <w:jc w:val="center"/>
              <w:rPr>
                <w:rFonts w:ascii="宋体" w:hAnsi="宋体" w:cs="宋体"/>
              </w:rPr>
            </w:pPr>
          </w:p>
        </w:tc>
        <w:tc>
          <w:tcPr>
            <w:tcW w:w="1995" w:type="dxa"/>
            <w:vAlign w:val="center"/>
          </w:tcPr>
          <w:p>
            <w:pPr>
              <w:pStyle w:val="9"/>
              <w:jc w:val="center"/>
              <w:rPr>
                <w:rFonts w:ascii="宋体" w:hAnsi="宋体" w:cs="宋体"/>
              </w:rPr>
            </w:pPr>
          </w:p>
        </w:tc>
        <w:tc>
          <w:tcPr>
            <w:tcW w:w="1780" w:type="dxa"/>
            <w:vAlign w:val="center"/>
          </w:tcPr>
          <w:p>
            <w:pPr>
              <w:pStyle w:val="9"/>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55" w:type="dxa"/>
            <w:vAlign w:val="center"/>
          </w:tcPr>
          <w:p>
            <w:pPr>
              <w:pStyle w:val="9"/>
              <w:jc w:val="center"/>
              <w:rPr>
                <w:rFonts w:ascii="宋体" w:hAnsi="宋体" w:cs="宋体"/>
              </w:rPr>
            </w:pPr>
            <w:r>
              <w:rPr>
                <w:rFonts w:hint="eastAsia" w:ascii="宋体" w:hAnsi="宋体" w:cs="宋体"/>
              </w:rPr>
              <w:t>3</w:t>
            </w:r>
          </w:p>
        </w:tc>
        <w:tc>
          <w:tcPr>
            <w:tcW w:w="1773" w:type="dxa"/>
            <w:vAlign w:val="center"/>
          </w:tcPr>
          <w:p>
            <w:pPr>
              <w:pStyle w:val="9"/>
              <w:jc w:val="center"/>
              <w:rPr>
                <w:rFonts w:ascii="宋体" w:hAnsi="宋体" w:cs="宋体"/>
              </w:rPr>
            </w:pPr>
          </w:p>
        </w:tc>
        <w:tc>
          <w:tcPr>
            <w:tcW w:w="1995" w:type="dxa"/>
            <w:vAlign w:val="center"/>
          </w:tcPr>
          <w:p>
            <w:pPr>
              <w:pStyle w:val="9"/>
              <w:jc w:val="center"/>
              <w:rPr>
                <w:rFonts w:ascii="宋体" w:hAnsi="宋体" w:cs="宋体"/>
              </w:rPr>
            </w:pPr>
          </w:p>
        </w:tc>
        <w:tc>
          <w:tcPr>
            <w:tcW w:w="1995" w:type="dxa"/>
            <w:vAlign w:val="center"/>
          </w:tcPr>
          <w:p>
            <w:pPr>
              <w:pStyle w:val="9"/>
              <w:jc w:val="center"/>
              <w:rPr>
                <w:rFonts w:ascii="宋体" w:hAnsi="宋体" w:cs="宋体"/>
              </w:rPr>
            </w:pPr>
          </w:p>
        </w:tc>
        <w:tc>
          <w:tcPr>
            <w:tcW w:w="1780" w:type="dxa"/>
            <w:vAlign w:val="center"/>
          </w:tcPr>
          <w:p>
            <w:pPr>
              <w:pStyle w:val="9"/>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55" w:type="dxa"/>
            <w:vAlign w:val="center"/>
          </w:tcPr>
          <w:p>
            <w:pPr>
              <w:pStyle w:val="9"/>
              <w:jc w:val="center"/>
              <w:rPr>
                <w:rFonts w:ascii="宋体" w:hAnsi="宋体" w:cs="宋体"/>
              </w:rPr>
            </w:pPr>
            <w:r>
              <w:rPr>
                <w:rFonts w:hint="eastAsia" w:ascii="宋体" w:hAnsi="宋体" w:cs="宋体"/>
              </w:rPr>
              <w:t>……</w:t>
            </w:r>
          </w:p>
        </w:tc>
        <w:tc>
          <w:tcPr>
            <w:tcW w:w="1773" w:type="dxa"/>
            <w:vAlign w:val="center"/>
          </w:tcPr>
          <w:p>
            <w:pPr>
              <w:pStyle w:val="9"/>
              <w:jc w:val="center"/>
              <w:rPr>
                <w:rFonts w:ascii="宋体" w:hAnsi="宋体" w:cs="宋体"/>
              </w:rPr>
            </w:pPr>
          </w:p>
        </w:tc>
        <w:tc>
          <w:tcPr>
            <w:tcW w:w="1995" w:type="dxa"/>
            <w:vAlign w:val="center"/>
          </w:tcPr>
          <w:p>
            <w:pPr>
              <w:pStyle w:val="9"/>
              <w:jc w:val="center"/>
              <w:rPr>
                <w:rFonts w:ascii="宋体" w:hAnsi="宋体" w:cs="宋体"/>
              </w:rPr>
            </w:pPr>
          </w:p>
        </w:tc>
        <w:tc>
          <w:tcPr>
            <w:tcW w:w="1995" w:type="dxa"/>
            <w:vAlign w:val="center"/>
          </w:tcPr>
          <w:p>
            <w:pPr>
              <w:pStyle w:val="9"/>
              <w:jc w:val="center"/>
              <w:rPr>
                <w:rFonts w:ascii="宋体" w:hAnsi="宋体" w:cs="宋体"/>
              </w:rPr>
            </w:pPr>
          </w:p>
        </w:tc>
        <w:tc>
          <w:tcPr>
            <w:tcW w:w="1780" w:type="dxa"/>
            <w:vAlign w:val="center"/>
          </w:tcPr>
          <w:p>
            <w:pPr>
              <w:pStyle w:val="9"/>
              <w:jc w:val="center"/>
              <w:rPr>
                <w:rFonts w:ascii="宋体" w:hAnsi="宋体" w:cs="宋体"/>
              </w:rPr>
            </w:pPr>
          </w:p>
        </w:tc>
      </w:tr>
    </w:tbl>
    <w:p>
      <w:pPr>
        <w:rPr>
          <w:rFonts w:ascii="宋体" w:hAnsi="宋体" w:cs="宋体"/>
          <w:szCs w:val="21"/>
        </w:rPr>
      </w:pPr>
    </w:p>
    <w:p>
      <w:pPr>
        <w:rPr>
          <w:rFonts w:ascii="宋体" w:hAnsi="宋体" w:cs="宋体"/>
          <w:szCs w:val="21"/>
        </w:rPr>
      </w:pPr>
    </w:p>
    <w:p>
      <w:pPr>
        <w:rPr>
          <w:rFonts w:ascii="宋体" w:hAnsi="宋体" w:cs="宋体"/>
          <w:szCs w:val="21"/>
        </w:rPr>
      </w:pPr>
    </w:p>
    <w:p>
      <w:r>
        <w:rPr>
          <w:rFonts w:hint="eastAsia"/>
        </w:rPr>
        <w:t>报价</w:t>
      </w:r>
      <w:r>
        <w:t>人</w:t>
      </w:r>
      <w:r>
        <w:rPr>
          <w:rFonts w:hint="eastAsia"/>
        </w:rPr>
        <w:t>（盖公章）</w:t>
      </w:r>
      <w:r>
        <w:t>：</w:t>
      </w:r>
    </w:p>
    <w:p/>
    <w:p>
      <w:r>
        <w:t>法定代表人（或授权代表）签字</w:t>
      </w:r>
      <w:r>
        <w:rPr>
          <w:rFonts w:hint="eastAsia"/>
        </w:rPr>
        <w:t>：</w:t>
      </w:r>
    </w:p>
    <w:p/>
    <w:p>
      <w:pPr>
        <w:pStyle w:val="2"/>
        <w:ind w:firstLine="0" w:firstLineChars="0"/>
      </w:pPr>
      <w:r>
        <w:rPr>
          <w:kern w:val="2"/>
          <w:sz w:val="21"/>
          <w:szCs w:val="24"/>
        </w:rPr>
        <w:t>日</w:t>
      </w:r>
      <w:r>
        <w:rPr>
          <w:rFonts w:hint="eastAsia"/>
          <w:kern w:val="2"/>
          <w:sz w:val="21"/>
          <w:szCs w:val="24"/>
        </w:rPr>
        <w:t>期：</w:t>
      </w:r>
      <w:r>
        <w:br w:type="page"/>
      </w:r>
    </w:p>
    <w:p>
      <w:pPr>
        <w:pStyle w:val="5"/>
        <w:jc w:val="center"/>
        <w:rPr>
          <w:rFonts w:hint="eastAsia" w:ascii="宋体" w:hAnsi="宋体" w:eastAsia="宋体" w:cs="宋体"/>
          <w:color w:val="auto"/>
          <w:sz w:val="24"/>
          <w:szCs w:val="24"/>
        </w:rPr>
      </w:pPr>
      <w:bookmarkStart w:id="13" w:name="_Toc27338278"/>
      <w:bookmarkStart w:id="14" w:name="_Toc17502"/>
      <w:r>
        <w:rPr>
          <w:rFonts w:hint="eastAsia" w:ascii="宋体" w:hAnsi="宋体" w:eastAsia="宋体" w:cs="宋体"/>
          <w:color w:val="auto"/>
          <w:sz w:val="24"/>
          <w:szCs w:val="24"/>
        </w:rPr>
        <w:t>格式</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、合同条款确认函格式</w:t>
      </w:r>
      <w:bookmarkEnd w:id="13"/>
      <w:bookmarkEnd w:id="14"/>
    </w:p>
    <w:p>
      <w:pPr>
        <w:pStyle w:val="35"/>
      </w:pPr>
      <w:r>
        <w:rPr>
          <w:rFonts w:hint="eastAsia"/>
        </w:rPr>
        <w:t>合同条款确认函</w:t>
      </w:r>
    </w:p>
    <w:p/>
    <w:p>
      <w:pPr>
        <w:rPr>
          <w:rFonts w:hint="eastAsia" w:eastAsia="宋体"/>
          <w:lang w:eastAsia="zh-CN"/>
        </w:rPr>
      </w:pPr>
      <w:r>
        <w:rPr>
          <w:rFonts w:hint="eastAsia"/>
        </w:rPr>
        <w:t>致：</w:t>
      </w:r>
      <w:r>
        <w:rPr>
          <w:rFonts w:hint="eastAsia"/>
          <w:lang w:eastAsia="zh-CN"/>
        </w:rPr>
        <w:t>嘉兴杭州湾石油化工物流有限公司</w:t>
      </w:r>
    </w:p>
    <w:p>
      <w:pPr>
        <w:pStyle w:val="33"/>
      </w:pPr>
      <w:r>
        <w:rPr>
          <w:rFonts w:hint="eastAsia"/>
        </w:rPr>
        <w:t>鉴于我们已经收到并认真研究了：【</w:t>
      </w:r>
      <w:r>
        <w:rPr>
          <w:rFonts w:hint="eastAsia"/>
          <w:lang w:val="en-US" w:eastAsia="zh-CN"/>
        </w:rPr>
        <w:t>红外测温系统安装项目工程</w:t>
      </w:r>
      <w:r>
        <w:rPr>
          <w:rFonts w:hint="eastAsia"/>
        </w:rPr>
        <w:t>】</w:t>
      </w:r>
      <w:r>
        <w:rPr>
          <w:rFonts w:hint="eastAsia"/>
          <w:lang w:val="en-US" w:eastAsia="zh-CN"/>
        </w:rPr>
        <w:t>项目</w:t>
      </w:r>
      <w:r>
        <w:rPr>
          <w:rFonts w:hint="eastAsia"/>
        </w:rPr>
        <w:t>询价文件《合同条款》，一</w:t>
      </w:r>
      <w:r>
        <w:t>旦中标，</w:t>
      </w:r>
      <w:r>
        <w:rPr>
          <w:rFonts w:hint="eastAsia"/>
        </w:rPr>
        <w:t>除我们在差异表中明示的差异外，我们承诺对《合同条款》的内容全部接受，愿意按《合同条款》的规定履</w:t>
      </w:r>
      <w:r>
        <w:t>行全部义</w:t>
      </w:r>
      <w:r>
        <w:rPr>
          <w:rFonts w:hint="eastAsia"/>
        </w:rPr>
        <w:t>务，并不再提出任何差异表中未明示的差异和偏差。</w:t>
      </w:r>
    </w:p>
    <w:p>
      <w:pPr>
        <w:pStyle w:val="33"/>
      </w:pPr>
    </w:p>
    <w:p>
      <w:pPr>
        <w:pStyle w:val="33"/>
      </w:pPr>
    </w:p>
    <w:p>
      <w:pPr>
        <w:pStyle w:val="33"/>
      </w:pPr>
    </w:p>
    <w:p>
      <w:pPr>
        <w:pStyle w:val="33"/>
      </w:pPr>
    </w:p>
    <w:p>
      <w:r>
        <w:rPr>
          <w:rFonts w:hint="eastAsia"/>
        </w:rPr>
        <w:t>报价人（盖公章）</w:t>
      </w:r>
      <w:r>
        <w:t>：</w:t>
      </w:r>
    </w:p>
    <w:p/>
    <w:p>
      <w:r>
        <w:t>法定代表人（或授权代表）签字</w:t>
      </w:r>
      <w:r>
        <w:rPr>
          <w:rFonts w:hint="eastAsia"/>
        </w:rPr>
        <w:t>：</w:t>
      </w:r>
    </w:p>
    <w:p/>
    <w:p>
      <w:pPr>
        <w:pStyle w:val="2"/>
        <w:ind w:firstLine="0" w:firstLineChars="0"/>
      </w:pPr>
      <w:r>
        <w:rPr>
          <w:kern w:val="2"/>
          <w:sz w:val="21"/>
          <w:szCs w:val="24"/>
        </w:rPr>
        <w:t>日期：</w:t>
      </w:r>
      <w:r>
        <w:br w:type="page"/>
      </w:r>
    </w:p>
    <w:p>
      <w:pPr>
        <w:pStyle w:val="5"/>
        <w:jc w:val="center"/>
        <w:rPr>
          <w:rFonts w:hint="eastAsia" w:ascii="宋体" w:hAnsi="宋体" w:eastAsia="宋体" w:cs="宋体"/>
          <w:color w:val="auto"/>
          <w:sz w:val="24"/>
          <w:szCs w:val="24"/>
        </w:rPr>
      </w:pPr>
      <w:bookmarkStart w:id="15" w:name="_Toc22797178"/>
      <w:bookmarkStart w:id="16" w:name="_Toc27338279"/>
      <w:bookmarkStart w:id="17" w:name="_Toc29098"/>
      <w:r>
        <w:rPr>
          <w:rFonts w:hint="eastAsia" w:ascii="宋体" w:hAnsi="宋体" w:eastAsia="宋体" w:cs="宋体"/>
          <w:color w:val="auto"/>
          <w:sz w:val="24"/>
          <w:szCs w:val="24"/>
        </w:rPr>
        <w:t>格式</w:t>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w:t>
      </w:r>
      <w:bookmarkEnd w:id="15"/>
      <w:bookmarkEnd w:id="16"/>
      <w:r>
        <w:rPr>
          <w:rFonts w:hint="eastAsia" w:ascii="宋体" w:hAnsi="宋体" w:eastAsia="宋体" w:cs="宋体"/>
          <w:color w:val="000000"/>
          <w:sz w:val="24"/>
          <w:szCs w:val="24"/>
          <w:lang w:val="zh-CN"/>
        </w:rPr>
        <w:t>营业执照和资质证书复印件</w:t>
      </w:r>
      <w:bookmarkEnd w:id="17"/>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rPr>
          <w:rFonts w:hint="eastAsia"/>
          <w:sz w:val="30"/>
          <w:szCs w:val="30"/>
          <w:lang w:val="en-US" w:eastAsia="zh-CN"/>
        </w:rPr>
      </w:pPr>
      <w:r>
        <w:rPr>
          <w:rFonts w:hint="eastAsia"/>
          <w:sz w:val="30"/>
          <w:szCs w:val="30"/>
          <w:lang w:val="en-US" w:eastAsia="zh-CN"/>
        </w:rPr>
        <w:br w:type="page"/>
      </w:r>
    </w:p>
    <w:p>
      <w:pPr>
        <w:pageBreakBefore w:val="0"/>
        <w:widowControl w:val="0"/>
        <w:numPr>
          <w:ilvl w:val="0"/>
          <w:numId w:val="0"/>
        </w:numPr>
        <w:kinsoku/>
        <w:wordWrap/>
        <w:overflowPunct/>
        <w:topLinePunct w:val="0"/>
        <w:autoSpaceDE/>
        <w:autoSpaceDN/>
        <w:bidi w:val="0"/>
        <w:spacing w:before="0" w:after="0" w:line="360" w:lineRule="auto"/>
        <w:jc w:val="center"/>
        <w:textAlignment w:val="auto"/>
        <w:outlineLvl w:val="0"/>
        <w:rPr>
          <w:b/>
          <w:bCs/>
          <w:sz w:val="28"/>
          <w:szCs w:val="28"/>
        </w:rPr>
      </w:pPr>
      <w:bookmarkStart w:id="18" w:name="_Toc10175"/>
      <w:r>
        <w:rPr>
          <w:rFonts w:hint="eastAsia"/>
          <w:b/>
          <w:bCs/>
          <w:sz w:val="28"/>
          <w:szCs w:val="28"/>
          <w:lang w:val="en-US" w:eastAsia="zh-CN"/>
        </w:rPr>
        <w:t>第二章</w:t>
      </w:r>
      <w:r>
        <w:rPr>
          <w:rFonts w:hint="eastAsia"/>
          <w:b/>
          <w:bCs/>
          <w:sz w:val="28"/>
          <w:szCs w:val="28"/>
        </w:rPr>
        <w:t>合同主要协议条款</w:t>
      </w:r>
      <w:bookmarkEnd w:id="18"/>
    </w:p>
    <w:p>
      <w:pPr>
        <w:pStyle w:val="5"/>
        <w:pageBreakBefore w:val="0"/>
        <w:widowControl w:val="0"/>
        <w:kinsoku/>
        <w:wordWrap/>
        <w:overflowPunct/>
        <w:topLinePunct w:val="0"/>
        <w:autoSpaceDE/>
        <w:autoSpaceDN/>
        <w:bidi w:val="0"/>
        <w:spacing w:before="0" w:after="100" w:afterAutospacing="1" w:line="360" w:lineRule="auto"/>
        <w:jc w:val="center"/>
        <w:textAlignment w:val="auto"/>
        <w:rPr>
          <w:rFonts w:ascii="宋体" w:hAnsi="宋体" w:eastAsia="宋体"/>
          <w:color w:val="000000"/>
          <w:sz w:val="24"/>
          <w:szCs w:val="32"/>
        </w:rPr>
      </w:pPr>
      <w:bookmarkStart w:id="19" w:name="_Toc19905"/>
      <w:r>
        <w:rPr>
          <w:rFonts w:hint="eastAsia" w:ascii="宋体" w:hAnsi="宋体" w:eastAsia="宋体"/>
          <w:color w:val="000000"/>
          <w:sz w:val="24"/>
          <w:szCs w:val="32"/>
          <w:lang w:val="en-US" w:eastAsia="zh-CN"/>
        </w:rPr>
        <w:t>一</w:t>
      </w:r>
      <w:r>
        <w:rPr>
          <w:rFonts w:hint="eastAsia" w:ascii="宋体" w:hAnsi="宋体" w:eastAsia="宋体"/>
          <w:color w:val="000000"/>
          <w:sz w:val="24"/>
          <w:szCs w:val="32"/>
        </w:rPr>
        <w:t>、合同条款</w:t>
      </w:r>
      <w:bookmarkEnd w:id="19"/>
    </w:p>
    <w:p>
      <w:pPr>
        <w:pageBreakBefore w:val="0"/>
        <w:widowControl w:val="0"/>
        <w:kinsoku/>
        <w:wordWrap/>
        <w:overflowPunct/>
        <w:topLinePunct w:val="0"/>
        <w:autoSpaceDE/>
        <w:autoSpaceDN/>
        <w:bidi w:val="0"/>
        <w:adjustRightInd w:val="0"/>
        <w:snapToGrid w:val="0"/>
        <w:spacing w:line="360" w:lineRule="auto"/>
        <w:textAlignment w:val="auto"/>
        <w:rPr>
          <w:rFonts w:ascii="宋体" w:hAnsi="宋体" w:cs="宋体"/>
          <w:b/>
          <w:bCs/>
          <w:szCs w:val="21"/>
        </w:rPr>
      </w:pPr>
      <w:r>
        <w:rPr>
          <w:rFonts w:hint="eastAsia" w:ascii="宋体" w:hAnsi="宋体" w:cs="宋体"/>
          <w:b/>
          <w:bCs/>
          <w:szCs w:val="21"/>
        </w:rPr>
        <w:t>甲方：</w:t>
      </w:r>
      <w:r>
        <w:rPr>
          <w:rFonts w:hint="eastAsia" w:ascii="宋体" w:hAnsi="宋体" w:cs="宋体"/>
          <w:b/>
          <w:bCs/>
          <w:szCs w:val="21"/>
          <w:lang w:eastAsia="zh-CN"/>
        </w:rPr>
        <w:t>嘉兴杭州湾石油化工物流有限公司</w:t>
      </w:r>
      <w:r>
        <w:rPr>
          <w:rFonts w:hint="eastAsia" w:ascii="宋体" w:hAnsi="宋体" w:cs="宋体"/>
          <w:b/>
          <w:bCs/>
          <w:szCs w:val="21"/>
          <w:u w:val="single"/>
        </w:rPr>
        <w:t xml:space="preserve"> </w:t>
      </w:r>
      <w:r>
        <w:rPr>
          <w:rFonts w:hint="eastAsia" w:ascii="宋体" w:hAnsi="宋体" w:cs="宋体"/>
          <w:b/>
          <w:bCs/>
          <w:szCs w:val="21"/>
        </w:rPr>
        <w:t xml:space="preserve">  </w:t>
      </w:r>
      <w:r>
        <w:rPr>
          <w:rFonts w:hint="eastAsia" w:ascii="宋体" w:hAnsi="宋体" w:cs="宋体"/>
          <w:b/>
          <w:bCs/>
          <w:color w:val="FF0000"/>
          <w:szCs w:val="21"/>
        </w:rPr>
        <w:t xml:space="preserve"> </w:t>
      </w:r>
    </w:p>
    <w:p>
      <w:pPr>
        <w:pageBreakBefore w:val="0"/>
        <w:widowControl w:val="0"/>
        <w:kinsoku/>
        <w:wordWrap/>
        <w:overflowPunct/>
        <w:topLinePunct w:val="0"/>
        <w:autoSpaceDE/>
        <w:autoSpaceDN/>
        <w:bidi w:val="0"/>
        <w:adjustRightInd w:val="0"/>
        <w:snapToGrid w:val="0"/>
        <w:spacing w:line="360" w:lineRule="auto"/>
        <w:textAlignment w:val="auto"/>
        <w:rPr>
          <w:rFonts w:ascii="宋体" w:hAnsi="宋体" w:cs="宋体"/>
          <w:b/>
          <w:bCs/>
          <w:szCs w:val="21"/>
        </w:rPr>
      </w:pPr>
      <w:r>
        <w:rPr>
          <w:rFonts w:hint="eastAsia" w:ascii="宋体" w:hAnsi="宋体" w:cs="宋体"/>
          <w:b/>
          <w:bCs/>
          <w:szCs w:val="21"/>
        </w:rPr>
        <w:t xml:space="preserve">乙方：       </w:t>
      </w:r>
    </w:p>
    <w:p>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cs="宋体" w:asciiTheme="minorEastAsia" w:hAnsiTheme="minorEastAsia" w:eastAsiaTheme="minorEastAsia"/>
          <w:szCs w:val="21"/>
        </w:rPr>
      </w:pPr>
      <w:r>
        <w:rPr>
          <w:rFonts w:hint="eastAsia" w:cs="宋体" w:asciiTheme="minorEastAsia" w:hAnsiTheme="minorEastAsia" w:eastAsiaTheme="minorEastAsia"/>
          <w:szCs w:val="21"/>
        </w:rPr>
        <w:t>双方经过平等协商，在真实、充分地表达各自意愿的基础上，根据《中华人民共和国民法典》等相关法律法规的规定，订立本合同。</w:t>
      </w:r>
    </w:p>
    <w:p>
      <w:pPr>
        <w:pStyle w:val="12"/>
        <w:rPr>
          <w:rFonts w:hint="eastAsia"/>
          <w:b/>
        </w:rPr>
      </w:pPr>
      <w:r>
        <w:rPr>
          <w:rFonts w:hint="eastAsia"/>
          <w:b/>
        </w:rPr>
        <w:t>一、合同标的</w:t>
      </w:r>
    </w:p>
    <w:tbl>
      <w:tblPr>
        <w:tblStyle w:val="21"/>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6"/>
        <w:gridCol w:w="1252"/>
        <w:gridCol w:w="1454"/>
        <w:gridCol w:w="446"/>
        <w:gridCol w:w="446"/>
        <w:gridCol w:w="446"/>
        <w:gridCol w:w="792"/>
        <w:gridCol w:w="792"/>
        <w:gridCol w:w="2001"/>
        <w:gridCol w:w="4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1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规格参数</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税率</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总价（元）</w:t>
            </w:r>
          </w:p>
        </w:tc>
        <w:tc>
          <w:tcPr>
            <w:tcW w:w="9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品牌</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红外多人多感测温仪</w:t>
            </w:r>
          </w:p>
        </w:tc>
        <w:tc>
          <w:tcPr>
            <w:tcW w:w="1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200万热成像测温摄像机</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9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CW-V88  ，DM23深圳，CW19C8上海</w:t>
            </w:r>
          </w:p>
        </w:tc>
        <w:tc>
          <w:tcPr>
            <w:tcW w:w="2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pStyle w:val="12"/>
        <w:rPr>
          <w:b/>
        </w:rPr>
      </w:pPr>
    </w:p>
    <w:p>
      <w:pPr>
        <w:pStyle w:val="20"/>
        <w:ind w:firstLine="211"/>
        <w:rPr>
          <w:rFonts w:ascii="宋体" w:hAnsi="宋体" w:cs="宋体"/>
          <w:b/>
          <w:bCs/>
          <w:color w:val="000000"/>
          <w:kern w:val="0"/>
          <w:szCs w:val="21"/>
        </w:rPr>
      </w:pPr>
      <w:r>
        <w:rPr>
          <w:rFonts w:hint="eastAsia" w:ascii="宋体" w:hAnsi="宋体" w:cs="宋体"/>
          <w:b/>
          <w:bCs/>
          <w:color w:val="000000"/>
          <w:kern w:val="0"/>
          <w:szCs w:val="21"/>
        </w:rPr>
        <w:t xml:space="preserve">                                             </w:t>
      </w:r>
      <w:r>
        <w:rPr>
          <w:rFonts w:ascii="宋体" w:hAnsi="宋体" w:cs="宋体"/>
          <w:b/>
          <w:bCs/>
          <w:color w:val="000000"/>
          <w:kern w:val="0"/>
          <w:szCs w:val="21"/>
        </w:rPr>
        <w:t xml:space="preserve"> </w:t>
      </w:r>
      <w:r>
        <w:rPr>
          <w:rFonts w:hint="eastAsia" w:ascii="宋体" w:hAnsi="宋体" w:cs="宋体"/>
          <w:b/>
          <w:bCs/>
          <w:color w:val="000000"/>
          <w:kern w:val="0"/>
          <w:szCs w:val="21"/>
        </w:rPr>
        <w:t xml:space="preserve">     </w:t>
      </w:r>
      <w:r>
        <w:rPr>
          <w:rFonts w:ascii="宋体" w:hAnsi="宋体" w:cs="宋体"/>
          <w:b/>
          <w:bCs/>
          <w:color w:val="000000"/>
          <w:kern w:val="0"/>
          <w:szCs w:val="21"/>
        </w:rPr>
        <w:t xml:space="preserve">              </w:t>
      </w:r>
      <w:r>
        <w:rPr>
          <w:rFonts w:hint="eastAsia" w:ascii="宋体" w:hAnsi="宋体" w:cs="宋体"/>
          <w:b/>
          <w:bCs/>
          <w:color w:val="000000"/>
          <w:kern w:val="0"/>
          <w:szCs w:val="21"/>
        </w:rPr>
        <w:t>单位：</w:t>
      </w:r>
      <w:r>
        <w:rPr>
          <w:rFonts w:hint="eastAsia" w:ascii="宋体" w:hAnsi="宋体" w:cs="宋体"/>
          <w:b/>
          <w:bCs/>
          <w:color w:val="000000"/>
          <w:kern w:val="0"/>
          <w:szCs w:val="21"/>
          <w:lang w:val="en-US" w:eastAsia="zh-CN"/>
        </w:rPr>
        <w:t xml:space="preserve">  </w:t>
      </w:r>
      <w:r>
        <w:rPr>
          <w:rFonts w:hint="eastAsia" w:ascii="宋体" w:hAnsi="宋体" w:cs="宋体"/>
          <w:b/>
          <w:bCs/>
          <w:color w:val="000000"/>
          <w:kern w:val="0"/>
          <w:szCs w:val="21"/>
        </w:rPr>
        <w:t>元</w:t>
      </w:r>
    </w:p>
    <w:p>
      <w:pPr>
        <w:pStyle w:val="12"/>
        <w:keepNext w:val="0"/>
        <w:keepLines w:val="0"/>
        <w:pageBreakBefore w:val="0"/>
        <w:kinsoku/>
        <w:wordWrap/>
        <w:overflowPunct/>
        <w:topLinePunct w:val="0"/>
        <w:autoSpaceDE/>
        <w:autoSpaceDN/>
        <w:bidi w:val="0"/>
        <w:adjustRightInd/>
        <w:snapToGrid/>
        <w:spacing w:line="360" w:lineRule="auto"/>
        <w:textAlignment w:val="auto"/>
        <w:rPr>
          <w:b/>
        </w:rPr>
      </w:pPr>
      <w:r>
        <w:rPr>
          <w:rFonts w:hint="eastAsia"/>
          <w:b/>
        </w:rPr>
        <w:t>二、合同价款及其支付方式</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left="105" w:leftChars="50" w:firstLine="315" w:firstLineChars="150"/>
        <w:jc w:val="both"/>
        <w:textAlignment w:val="auto"/>
        <w:rPr>
          <w:rStyle w:val="24"/>
          <w:b w:val="0"/>
          <w:color w:val="000000"/>
          <w:sz w:val="21"/>
          <w:szCs w:val="21"/>
        </w:rPr>
      </w:pPr>
      <w:r>
        <w:rPr>
          <w:rStyle w:val="24"/>
          <w:rFonts w:hint="eastAsia"/>
          <w:b w:val="0"/>
          <w:color w:val="000000"/>
          <w:sz w:val="21"/>
          <w:szCs w:val="21"/>
        </w:rPr>
        <w:t>1、本合同采用固定总价合同，合同金额为：</w:t>
      </w:r>
      <w:r>
        <w:rPr>
          <w:rFonts w:hint="eastAsia"/>
          <w:color w:val="000000"/>
          <w:sz w:val="21"/>
          <w:szCs w:val="21"/>
        </w:rPr>
        <w:t>¥</w:t>
      </w:r>
      <w:r>
        <w:rPr>
          <w:rFonts w:hint="eastAsia"/>
          <w:color w:val="000000"/>
          <w:sz w:val="21"/>
          <w:szCs w:val="21"/>
          <w:u w:val="single"/>
        </w:rPr>
        <w:t xml:space="preserve">      </w:t>
      </w:r>
      <w:r>
        <w:rPr>
          <w:rFonts w:hint="eastAsia"/>
          <w:color w:val="000000"/>
          <w:sz w:val="21"/>
          <w:szCs w:val="21"/>
        </w:rPr>
        <w:t>元，（大写）人民币</w:t>
      </w:r>
      <w:r>
        <w:rPr>
          <w:rFonts w:hint="eastAsia"/>
          <w:color w:val="000000"/>
          <w:sz w:val="21"/>
          <w:szCs w:val="21"/>
          <w:u w:val="single"/>
        </w:rPr>
        <w:t xml:space="preserve">      </w:t>
      </w:r>
      <w:r>
        <w:rPr>
          <w:rStyle w:val="24"/>
          <w:rFonts w:hint="eastAsia"/>
          <w:b w:val="0"/>
          <w:color w:val="000000"/>
          <w:sz w:val="21"/>
          <w:szCs w:val="21"/>
        </w:rPr>
        <w:t>。税率</w:t>
      </w:r>
      <w:r>
        <w:rPr>
          <w:rStyle w:val="24"/>
          <w:rFonts w:hint="eastAsia"/>
          <w:b w:val="0"/>
          <w:color w:val="000000"/>
          <w:sz w:val="21"/>
          <w:szCs w:val="21"/>
          <w:u w:val="single"/>
        </w:rPr>
        <w:t xml:space="preserve">      </w:t>
      </w:r>
      <w:r>
        <w:rPr>
          <w:rStyle w:val="24"/>
          <w:rFonts w:hint="eastAsia"/>
          <w:b w:val="0"/>
          <w:color w:val="000000"/>
          <w:sz w:val="21"/>
          <w:szCs w:val="21"/>
        </w:rPr>
        <w:t>。</w:t>
      </w:r>
      <w:r>
        <w:rPr>
          <w:rFonts w:hint="eastAsia"/>
          <w:color w:val="000000"/>
          <w:sz w:val="21"/>
          <w:szCs w:val="21"/>
        </w:rPr>
        <w:t>税率以实际开票时国家政策规定为准。</w:t>
      </w:r>
      <w:r>
        <w:rPr>
          <w:rStyle w:val="24"/>
          <w:rFonts w:hint="eastAsia"/>
          <w:color w:val="000000"/>
          <w:sz w:val="21"/>
          <w:szCs w:val="21"/>
        </w:rPr>
        <w:t>包括但不限于</w:t>
      </w:r>
      <w:r>
        <w:rPr>
          <w:rStyle w:val="24"/>
          <w:rFonts w:hint="eastAsia"/>
          <w:color w:val="000000"/>
          <w:sz w:val="21"/>
          <w:szCs w:val="21"/>
          <w:lang w:val="en-US" w:eastAsia="zh-CN"/>
        </w:rPr>
        <w:t>红外测温系统安装项目</w:t>
      </w:r>
      <w:r>
        <w:rPr>
          <w:rStyle w:val="24"/>
          <w:rFonts w:hint="eastAsia"/>
          <w:color w:val="000000"/>
          <w:sz w:val="21"/>
          <w:szCs w:val="21"/>
        </w:rPr>
        <w:t>工程的设备</w:t>
      </w:r>
      <w:r>
        <w:rPr>
          <w:rStyle w:val="24"/>
          <w:rFonts w:hint="eastAsia"/>
          <w:color w:val="000000"/>
          <w:sz w:val="21"/>
          <w:szCs w:val="21"/>
          <w:lang w:val="en-US" w:eastAsia="zh-CN"/>
        </w:rPr>
        <w:t>和材料的</w:t>
      </w:r>
      <w:r>
        <w:rPr>
          <w:rStyle w:val="24"/>
          <w:rFonts w:hint="eastAsia"/>
          <w:color w:val="000000"/>
          <w:sz w:val="21"/>
          <w:szCs w:val="21"/>
        </w:rPr>
        <w:t>采购、运输、安装、调试所需的劳务、安全措施、管理费、保险、税费、利润等一切费用</w:t>
      </w:r>
      <w:r>
        <w:rPr>
          <w:rStyle w:val="24"/>
          <w:rFonts w:hint="eastAsia"/>
          <w:b w:val="0"/>
          <w:color w:val="000000"/>
          <w:sz w:val="21"/>
          <w:szCs w:val="21"/>
        </w:rPr>
        <w:t>。</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left="105" w:leftChars="50" w:firstLine="315" w:firstLineChars="150"/>
        <w:jc w:val="both"/>
        <w:textAlignment w:val="auto"/>
        <w:rPr>
          <w:bCs/>
          <w:snapToGrid w:val="0"/>
          <w:kern w:val="2"/>
          <w:sz w:val="21"/>
        </w:rPr>
      </w:pPr>
      <w:r>
        <w:rPr>
          <w:rFonts w:hint="eastAsia"/>
          <w:bCs/>
          <w:snapToGrid w:val="0"/>
          <w:kern w:val="2"/>
          <w:sz w:val="21"/>
        </w:rPr>
        <w:t xml:space="preserve">2、支付方式： </w:t>
      </w:r>
    </w:p>
    <w:p>
      <w:pPr>
        <w:pageBreakBefore w:val="0"/>
        <w:widowControl w:val="0"/>
        <w:wordWrap/>
        <w:topLinePunct w:val="0"/>
        <w:autoSpaceDE/>
        <w:autoSpaceDN/>
        <w:bidi w:val="0"/>
        <w:adjustRightInd/>
        <w:snapToGrid/>
        <w:spacing w:line="360" w:lineRule="auto"/>
        <w:ind w:firstLine="420" w:firstLineChars="200"/>
        <w:textAlignment w:val="auto"/>
        <w:rPr>
          <w:rFonts w:hint="default" w:ascii="宋体" w:hAnsi="宋体" w:eastAsia="宋体" w:cs="宋体"/>
          <w:bCs/>
          <w:lang w:val="en-US" w:eastAsia="zh-CN"/>
        </w:rPr>
      </w:pPr>
      <w:r>
        <w:rPr>
          <w:rFonts w:hint="eastAsia" w:ascii="宋体" w:hAnsi="宋体" w:cs="宋体"/>
          <w:szCs w:val="21"/>
        </w:rPr>
        <w:t>乙方根据甲方要求，完成</w:t>
      </w:r>
      <w:r>
        <w:rPr>
          <w:rFonts w:hint="eastAsia" w:ascii="宋体" w:hAnsi="宋体" w:cs="宋体"/>
          <w:lang w:val="en-US" w:eastAsia="zh-CN"/>
        </w:rPr>
        <w:t>红外测温系统安装项目工程</w:t>
      </w:r>
      <w:r>
        <w:rPr>
          <w:rFonts w:hint="eastAsia" w:ascii="宋体" w:hAnsi="宋体" w:cs="宋体"/>
          <w:szCs w:val="21"/>
        </w:rPr>
        <w:t>后，经甲方验收合格并共同</w:t>
      </w:r>
      <w:r>
        <w:rPr>
          <w:rFonts w:ascii="宋体" w:hAnsi="宋体" w:cs="宋体"/>
          <w:szCs w:val="21"/>
        </w:rPr>
        <w:t>签署</w:t>
      </w:r>
      <w:r>
        <w:rPr>
          <w:rFonts w:hint="eastAsia" w:ascii="宋体" w:hAnsi="宋体" w:cs="宋体"/>
          <w:szCs w:val="21"/>
        </w:rPr>
        <w:t>验收</w:t>
      </w:r>
      <w:r>
        <w:rPr>
          <w:rFonts w:ascii="宋体" w:hAnsi="宋体" w:cs="宋体"/>
          <w:szCs w:val="21"/>
        </w:rPr>
        <w:t>确认书</w:t>
      </w:r>
      <w:r>
        <w:rPr>
          <w:rFonts w:hint="eastAsia" w:ascii="宋体" w:hAnsi="宋体" w:cs="宋体"/>
          <w:szCs w:val="21"/>
          <w:lang w:eastAsia="zh-CN"/>
        </w:rPr>
        <w:t>，</w:t>
      </w:r>
      <w:r>
        <w:rPr>
          <w:rFonts w:ascii="宋体" w:hAnsi="宋体" w:cs="宋体"/>
          <w:szCs w:val="21"/>
        </w:rPr>
        <w:t>甲方收到乙方提供的</w:t>
      </w:r>
      <w:r>
        <w:rPr>
          <w:rFonts w:hint="eastAsia" w:ascii="宋体" w:hAnsi="宋体" w:cs="宋体"/>
          <w:szCs w:val="21"/>
        </w:rPr>
        <w:t>全额</w:t>
      </w:r>
      <w:r>
        <w:rPr>
          <w:rFonts w:ascii="宋体" w:hAnsi="宋体" w:cs="宋体"/>
          <w:szCs w:val="21"/>
        </w:rPr>
        <w:t>增值税专用发票后，15</w:t>
      </w:r>
      <w:r>
        <w:rPr>
          <w:rFonts w:hint="eastAsia" w:ascii="宋体" w:hAnsi="宋体" w:cs="宋体"/>
          <w:szCs w:val="21"/>
        </w:rPr>
        <w:t>个工作日内支付总额的</w:t>
      </w:r>
      <w:r>
        <w:rPr>
          <w:rFonts w:hint="eastAsia" w:ascii="宋体" w:hAnsi="宋体" w:cs="宋体"/>
          <w:szCs w:val="21"/>
          <w:lang w:val="en-US" w:eastAsia="zh-CN"/>
        </w:rPr>
        <w:t>100</w:t>
      </w:r>
      <w:r>
        <w:rPr>
          <w:rFonts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质保期为期一年（一年如存在非人为因素产生的损坏由厂家负责维修）</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三、质量保证及售后服务</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cs="宋体"/>
          <w:b/>
          <w:snapToGrid w:val="0"/>
          <w:szCs w:val="24"/>
        </w:rPr>
      </w:pPr>
      <w:r>
        <w:rPr>
          <w:rFonts w:hint="eastAsia" w:ascii="宋体" w:hAnsi="宋体" w:cs="宋体"/>
          <w:bCs/>
          <w:snapToGrid w:val="0"/>
          <w:szCs w:val="24"/>
        </w:rPr>
        <w:t>质保期为1年，1年内非人为有意损坏实行补修，时间自最终验收合格并交付使用之日起计算。在质保内，如发生非人为的质量问题，乙方在接到通知后</w:t>
      </w:r>
      <w:r>
        <w:rPr>
          <w:rFonts w:ascii="宋体" w:hAnsi="宋体" w:cs="宋体"/>
          <w:bCs/>
          <w:snapToGrid w:val="0"/>
          <w:szCs w:val="24"/>
        </w:rPr>
        <w:t>应</w:t>
      </w:r>
      <w:r>
        <w:rPr>
          <w:rFonts w:hint="eastAsia" w:ascii="宋体" w:hAnsi="宋体" w:cs="宋体"/>
          <w:bCs/>
          <w:snapToGrid w:val="0"/>
          <w:szCs w:val="24"/>
        </w:rPr>
        <w:t>及时补修，费用由乙方承担。</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四、施工工期及地点、</w:t>
      </w:r>
      <w:r>
        <w:rPr>
          <w:b/>
        </w:rPr>
        <w:t>质量要求</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highlight w:val="none"/>
        </w:rPr>
      </w:pPr>
      <w:r>
        <w:rPr>
          <w:rFonts w:hint="eastAsia"/>
          <w:color w:val="000000"/>
          <w:sz w:val="21"/>
          <w:szCs w:val="21"/>
          <w:highlight w:val="none"/>
        </w:rPr>
        <w:t>1、施工工期：接到甲方通知后</w:t>
      </w:r>
      <w:r>
        <w:rPr>
          <w:rFonts w:hint="eastAsia"/>
          <w:color w:val="000000"/>
          <w:sz w:val="21"/>
          <w:szCs w:val="21"/>
          <w:highlight w:val="none"/>
          <w:lang w:val="en-US" w:eastAsia="zh-CN"/>
        </w:rPr>
        <w:t>20个日历天内</w:t>
      </w:r>
      <w:r>
        <w:rPr>
          <w:rFonts w:hint="eastAsia"/>
          <w:color w:val="000000"/>
          <w:sz w:val="21"/>
          <w:szCs w:val="21"/>
          <w:highlight w:val="none"/>
        </w:rPr>
        <w:t>完成</w:t>
      </w:r>
      <w:r>
        <w:rPr>
          <w:rFonts w:hint="eastAsia"/>
          <w:color w:val="000000"/>
          <w:sz w:val="21"/>
          <w:szCs w:val="21"/>
          <w:highlight w:val="none"/>
          <w:lang w:val="en-US" w:eastAsia="zh-CN"/>
        </w:rPr>
        <w:t>采购及施工</w:t>
      </w:r>
      <w:r>
        <w:rPr>
          <w:rFonts w:hint="eastAsia"/>
          <w:color w:val="000000"/>
          <w:sz w:val="21"/>
          <w:szCs w:val="21"/>
          <w:highlight w:val="none"/>
        </w:rPr>
        <w:t>安装工作。</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2、施工地点：</w:t>
      </w:r>
      <w:r>
        <w:rPr>
          <w:rFonts w:hint="eastAsia"/>
          <w:color w:val="000000"/>
          <w:sz w:val="21"/>
          <w:szCs w:val="21"/>
          <w:lang w:eastAsia="zh-CN"/>
        </w:rPr>
        <w:t>嘉兴市乍浦港区怡海路一号</w:t>
      </w:r>
      <w:r>
        <w:rPr>
          <w:rFonts w:hint="eastAsia"/>
          <w:color w:val="000000"/>
          <w:sz w:val="21"/>
          <w:szCs w:val="21"/>
        </w:rPr>
        <w:t>（</w:t>
      </w:r>
      <w:r>
        <w:rPr>
          <w:rFonts w:hint="eastAsia"/>
          <w:color w:val="000000"/>
          <w:sz w:val="21"/>
          <w:szCs w:val="21"/>
          <w:lang w:eastAsia="zh-CN"/>
        </w:rPr>
        <w:t>嘉兴杭州湾石油化工物流有限公司</w:t>
      </w:r>
      <w:r>
        <w:rPr>
          <w:rFonts w:hint="eastAsia"/>
          <w:color w:val="000000"/>
          <w:sz w:val="21"/>
          <w:szCs w:val="21"/>
        </w:rPr>
        <w:t>）。</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五、验收</w:t>
      </w:r>
    </w:p>
    <w:p>
      <w:pPr>
        <w:keepNext w:val="0"/>
        <w:keepLines w:val="0"/>
        <w:pageBreakBefore w:val="0"/>
        <w:tabs>
          <w:tab w:val="left" w:pos="1470"/>
        </w:tabs>
        <w:kinsoku/>
        <w:wordWrap/>
        <w:overflowPunct/>
        <w:topLinePunct w:val="0"/>
        <w:autoSpaceDE/>
        <w:autoSpaceDN/>
        <w:bidi w:val="0"/>
        <w:adjustRightInd/>
        <w:snapToGrid/>
        <w:spacing w:line="360" w:lineRule="auto"/>
        <w:ind w:firstLine="420" w:firstLineChars="200"/>
        <w:textAlignment w:val="auto"/>
        <w:rPr>
          <w:rFonts w:ascii="宋体" w:hAnsi="宋体" w:cs="宋体"/>
          <w:snapToGrid w:val="0"/>
          <w:szCs w:val="24"/>
        </w:rPr>
      </w:pPr>
      <w:r>
        <w:rPr>
          <w:rFonts w:hint="eastAsia" w:ascii="宋体" w:hAnsi="宋体" w:cs="宋体"/>
          <w:snapToGrid w:val="0"/>
          <w:szCs w:val="24"/>
        </w:rPr>
        <w:t>1、甲方在</w:t>
      </w:r>
      <w:r>
        <w:rPr>
          <w:rFonts w:ascii="宋体" w:hAnsi="宋体" w:cs="宋体"/>
          <w:snapToGrid w:val="0"/>
          <w:szCs w:val="24"/>
        </w:rPr>
        <w:t>乙方施工完成后</w:t>
      </w:r>
      <w:r>
        <w:rPr>
          <w:rFonts w:hint="eastAsia" w:ascii="宋体" w:hAnsi="宋体" w:cs="宋体"/>
          <w:snapToGrid w:val="0"/>
          <w:szCs w:val="24"/>
        </w:rPr>
        <w:t>5个</w:t>
      </w:r>
      <w:r>
        <w:rPr>
          <w:rFonts w:ascii="宋体" w:hAnsi="宋体" w:cs="宋体"/>
          <w:snapToGrid w:val="0"/>
          <w:szCs w:val="24"/>
        </w:rPr>
        <w:t>工作日内</w:t>
      </w:r>
      <w:r>
        <w:rPr>
          <w:rFonts w:hint="eastAsia" w:ascii="宋体" w:hAnsi="宋体" w:cs="宋体"/>
          <w:snapToGrid w:val="0"/>
          <w:szCs w:val="24"/>
        </w:rPr>
        <w:t>根据技术</w:t>
      </w:r>
      <w:r>
        <w:rPr>
          <w:rFonts w:ascii="宋体" w:hAnsi="宋体" w:cs="宋体"/>
          <w:snapToGrid w:val="0"/>
          <w:szCs w:val="24"/>
        </w:rPr>
        <w:t>规范书</w:t>
      </w:r>
      <w:r>
        <w:rPr>
          <w:rFonts w:hint="eastAsia" w:ascii="宋体" w:hAnsi="宋体" w:cs="宋体"/>
          <w:snapToGrid w:val="0"/>
          <w:szCs w:val="24"/>
        </w:rPr>
        <w:t>相关</w:t>
      </w:r>
      <w:r>
        <w:rPr>
          <w:rFonts w:ascii="宋体" w:hAnsi="宋体" w:cs="宋体"/>
          <w:snapToGrid w:val="0"/>
          <w:szCs w:val="24"/>
        </w:rPr>
        <w:t>要求</w:t>
      </w:r>
      <w:r>
        <w:rPr>
          <w:rFonts w:hint="eastAsia" w:ascii="宋体" w:hAnsi="宋体" w:cs="宋体"/>
          <w:snapToGrid w:val="0"/>
          <w:szCs w:val="24"/>
        </w:rPr>
        <w:t>进行</w:t>
      </w:r>
      <w:r>
        <w:rPr>
          <w:rFonts w:ascii="宋体" w:hAnsi="宋体" w:cs="宋体"/>
          <w:snapToGrid w:val="0"/>
          <w:szCs w:val="24"/>
        </w:rPr>
        <w:t>现场验收</w:t>
      </w:r>
      <w:r>
        <w:rPr>
          <w:rFonts w:hint="eastAsia" w:ascii="宋体" w:hAnsi="宋体" w:cs="宋体"/>
          <w:snapToGrid w:val="0"/>
          <w:szCs w:val="24"/>
        </w:rPr>
        <w:t>，</w:t>
      </w:r>
      <w:r>
        <w:rPr>
          <w:rFonts w:ascii="宋体" w:hAnsi="宋体" w:cs="宋体"/>
          <w:snapToGrid w:val="0"/>
          <w:szCs w:val="24"/>
        </w:rPr>
        <w:t>验收</w:t>
      </w:r>
      <w:r>
        <w:rPr>
          <w:rFonts w:hint="eastAsia" w:ascii="宋体" w:hAnsi="宋体" w:cs="宋体"/>
          <w:snapToGrid w:val="0"/>
          <w:szCs w:val="24"/>
        </w:rPr>
        <w:t>合格的双方</w:t>
      </w:r>
      <w:r>
        <w:rPr>
          <w:rFonts w:ascii="宋体" w:hAnsi="宋体" w:cs="宋体"/>
          <w:snapToGrid w:val="0"/>
          <w:szCs w:val="24"/>
        </w:rPr>
        <w:t>共同签署</w:t>
      </w:r>
      <w:r>
        <w:rPr>
          <w:rFonts w:hint="eastAsia" w:ascii="宋体" w:hAnsi="宋体" w:cs="宋体"/>
          <w:snapToGrid w:val="0"/>
          <w:szCs w:val="24"/>
        </w:rPr>
        <w:t>验收确认书，</w:t>
      </w:r>
      <w:r>
        <w:rPr>
          <w:rFonts w:ascii="宋体" w:hAnsi="宋体" w:cs="宋体"/>
          <w:snapToGrid w:val="0"/>
          <w:szCs w:val="24"/>
        </w:rPr>
        <w:t>验收不合格</w:t>
      </w:r>
      <w:r>
        <w:rPr>
          <w:rFonts w:hint="eastAsia" w:ascii="宋体" w:hAnsi="宋体" w:cs="宋体"/>
          <w:snapToGrid w:val="0"/>
          <w:szCs w:val="24"/>
        </w:rPr>
        <w:t>的</w:t>
      </w:r>
      <w:r>
        <w:rPr>
          <w:rFonts w:ascii="宋体" w:hAnsi="宋体" w:cs="宋体"/>
          <w:snapToGrid w:val="0"/>
          <w:szCs w:val="24"/>
        </w:rPr>
        <w:t>甲方有权利要求乙方</w:t>
      </w:r>
      <w:r>
        <w:rPr>
          <w:rFonts w:hint="eastAsia" w:ascii="宋体" w:hAnsi="宋体" w:cs="宋体"/>
          <w:snapToGrid w:val="0"/>
          <w:szCs w:val="24"/>
        </w:rPr>
        <w:t>进行</w:t>
      </w:r>
      <w:r>
        <w:rPr>
          <w:rFonts w:ascii="宋体" w:hAnsi="宋体" w:cs="宋体"/>
          <w:snapToGrid w:val="0"/>
          <w:szCs w:val="24"/>
        </w:rPr>
        <w:t>整改，直至</w:t>
      </w:r>
      <w:r>
        <w:rPr>
          <w:rFonts w:hint="eastAsia" w:ascii="宋体" w:hAnsi="宋体" w:cs="宋体"/>
          <w:snapToGrid w:val="0"/>
          <w:szCs w:val="24"/>
        </w:rPr>
        <w:t>验收</w:t>
      </w:r>
      <w:r>
        <w:rPr>
          <w:rFonts w:ascii="宋体" w:hAnsi="宋体" w:cs="宋体"/>
          <w:snapToGrid w:val="0"/>
          <w:szCs w:val="24"/>
        </w:rPr>
        <w:t>合格为止。</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default"/>
          <w:color w:val="000000"/>
          <w:sz w:val="21"/>
          <w:szCs w:val="21"/>
        </w:rPr>
        <w:t>2</w:t>
      </w:r>
      <w:r>
        <w:rPr>
          <w:rFonts w:hint="eastAsia"/>
          <w:color w:val="000000"/>
          <w:sz w:val="21"/>
          <w:szCs w:val="21"/>
        </w:rPr>
        <w:t>、乙方在交工的同时，应向甲方提供设备的有关技术资料、合格证、保修卡等所有随设备而带的资料。</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六、 合同的变更和终止</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甲乙双方不得擅自终止合同或对合同实质性条款进行变更。确有特殊情况的，双方协商。</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七、违约责任</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color w:val="000000"/>
          <w:sz w:val="21"/>
          <w:szCs w:val="21"/>
        </w:rPr>
        <w:t>1</w:t>
      </w:r>
      <w:r>
        <w:rPr>
          <w:rFonts w:hint="eastAsia"/>
          <w:color w:val="000000"/>
          <w:sz w:val="21"/>
          <w:szCs w:val="21"/>
        </w:rPr>
        <w:t>、乙方未</w:t>
      </w:r>
      <w:r>
        <w:rPr>
          <w:color w:val="000000"/>
          <w:sz w:val="21"/>
          <w:szCs w:val="21"/>
        </w:rPr>
        <w:t>按照合同约定完成</w:t>
      </w:r>
      <w:r>
        <w:rPr>
          <w:rFonts w:hint="eastAsia"/>
          <w:color w:val="000000"/>
          <w:sz w:val="21"/>
          <w:szCs w:val="21"/>
          <w:lang w:val="en-US" w:eastAsia="zh-CN"/>
        </w:rPr>
        <w:t>红外测温系统安装项目工程的</w:t>
      </w:r>
      <w:r>
        <w:rPr>
          <w:rFonts w:hint="eastAsia"/>
          <w:color w:val="000000"/>
          <w:sz w:val="21"/>
          <w:szCs w:val="21"/>
        </w:rPr>
        <w:t>安装</w:t>
      </w:r>
      <w:r>
        <w:rPr>
          <w:color w:val="000000"/>
          <w:sz w:val="21"/>
          <w:szCs w:val="21"/>
        </w:rPr>
        <w:t>调试的，</w:t>
      </w:r>
      <w:r>
        <w:rPr>
          <w:rFonts w:hint="eastAsia"/>
          <w:color w:val="000000"/>
          <w:sz w:val="21"/>
          <w:szCs w:val="21"/>
        </w:rPr>
        <w:t>乙方每</w:t>
      </w:r>
      <w:r>
        <w:rPr>
          <w:color w:val="000000"/>
          <w:sz w:val="21"/>
          <w:szCs w:val="21"/>
        </w:rPr>
        <w:t>逾期一天按照合同金额的</w:t>
      </w:r>
      <w:r>
        <w:rPr>
          <w:rFonts w:hint="eastAsia"/>
          <w:color w:val="000000"/>
          <w:sz w:val="21"/>
          <w:szCs w:val="21"/>
        </w:rPr>
        <w:t>千分之六向甲方支付违约金，由甲方从合同款中直接扣除。</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color w:val="000000"/>
          <w:sz w:val="21"/>
          <w:szCs w:val="21"/>
        </w:rPr>
        <w:t>2</w:t>
      </w:r>
      <w:r>
        <w:rPr>
          <w:rFonts w:hint="eastAsia"/>
          <w:color w:val="000000"/>
          <w:sz w:val="21"/>
          <w:szCs w:val="21"/>
        </w:rPr>
        <w:t>、乙方所安装的货物品种、型号、规格、技术参数、质量不符合合同规定标准的，甲方有权拒绝</w:t>
      </w:r>
      <w:r>
        <w:rPr>
          <w:color w:val="000000"/>
          <w:sz w:val="21"/>
          <w:szCs w:val="21"/>
        </w:rPr>
        <w:t>验收</w:t>
      </w:r>
      <w:r>
        <w:rPr>
          <w:rFonts w:hint="eastAsia"/>
          <w:color w:val="000000"/>
          <w:sz w:val="21"/>
          <w:szCs w:val="21"/>
        </w:rPr>
        <w:t>，并</w:t>
      </w:r>
      <w:r>
        <w:rPr>
          <w:color w:val="000000"/>
          <w:sz w:val="21"/>
          <w:szCs w:val="21"/>
        </w:rPr>
        <w:t>要求</w:t>
      </w:r>
      <w:r>
        <w:rPr>
          <w:rFonts w:hint="eastAsia"/>
          <w:color w:val="000000"/>
          <w:sz w:val="21"/>
          <w:szCs w:val="21"/>
        </w:rPr>
        <w:t>乙方进行</w:t>
      </w:r>
      <w:r>
        <w:rPr>
          <w:color w:val="000000"/>
          <w:sz w:val="21"/>
          <w:szCs w:val="21"/>
        </w:rPr>
        <w:t>更换，乙方</w:t>
      </w:r>
      <w:r>
        <w:rPr>
          <w:rFonts w:hint="eastAsia"/>
          <w:color w:val="000000"/>
          <w:sz w:val="21"/>
          <w:szCs w:val="21"/>
        </w:rPr>
        <w:t>拒绝更换货物的，甲方可单方面解除合同。由此</w:t>
      </w:r>
      <w:r>
        <w:rPr>
          <w:color w:val="000000"/>
          <w:sz w:val="21"/>
          <w:szCs w:val="21"/>
        </w:rPr>
        <w:t>给甲方造成损失的</w:t>
      </w:r>
      <w:r>
        <w:rPr>
          <w:rFonts w:hint="eastAsia"/>
          <w:color w:val="000000"/>
          <w:sz w:val="21"/>
          <w:szCs w:val="21"/>
        </w:rPr>
        <w:t>一切</w:t>
      </w:r>
      <w:r>
        <w:rPr>
          <w:color w:val="000000"/>
          <w:sz w:val="21"/>
          <w:szCs w:val="21"/>
        </w:rPr>
        <w:t>损失均由乙方承担。</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八、不可抗力事件处理</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1、在合同有效期内，甲乙双方的任何一方由于洪水、地震、台风及交通事故等人力不可抗拒的自然原因不能按期履行本合同时，应及时向另一方书面通知，合同履行期可延长，其延长期与不可抗力影响期相同。</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2、不可抗力事件发生后，应立即通知对方，并寄送有关权威机构出具的证明。</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3、不可抗力事件延续30天以上，双方应通过友好协商，确定是否继续履行合同。</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九、争议的解决</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color w:val="000000"/>
          <w:sz w:val="21"/>
          <w:szCs w:val="21"/>
        </w:rPr>
      </w:pPr>
      <w:r>
        <w:rPr>
          <w:rFonts w:hint="eastAsia"/>
          <w:color w:val="000000"/>
          <w:sz w:val="21"/>
          <w:szCs w:val="21"/>
        </w:rPr>
        <w:t>因履行本合同引起的或与本合同有关的争议，甲、乙双方应首先通过友好协商解决，如果协商不能解决争议，则</w:t>
      </w:r>
      <w:r>
        <w:rPr>
          <w:color w:val="000000"/>
          <w:sz w:val="21"/>
          <w:szCs w:val="21"/>
        </w:rPr>
        <w:t>甲乙双方均可</w:t>
      </w:r>
      <w:r>
        <w:rPr>
          <w:rFonts w:hint="eastAsia"/>
          <w:color w:val="000000"/>
          <w:sz w:val="21"/>
          <w:szCs w:val="21"/>
        </w:rPr>
        <w:t>向甲方所在地有管辖权的人民法院提起诉讼。</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b/>
          <w:bCs/>
          <w:lang w:val="en-US" w:eastAsia="zh-CN"/>
        </w:rPr>
      </w:pPr>
      <w:r>
        <w:rPr>
          <w:rFonts w:hint="eastAsia"/>
          <w:b/>
          <w:bCs/>
          <w:lang w:val="en-US" w:eastAsia="zh-CN"/>
        </w:rPr>
        <w:t>十、安全条款</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乙方人员或车辆进入甲方生产作业区域应</w:t>
      </w:r>
      <w:r>
        <w:rPr>
          <w:rFonts w:hint="eastAsia" w:ascii="宋体" w:hAnsi="宋体" w:eastAsia="宋体" w:cs="宋体"/>
          <w:color w:val="auto"/>
          <w:kern w:val="0"/>
          <w:szCs w:val="21"/>
          <w:highlight w:val="none"/>
          <w:lang w:val="en-US" w:eastAsia="zh-CN"/>
        </w:rPr>
        <w:t>严格</w:t>
      </w:r>
      <w:r>
        <w:rPr>
          <w:rFonts w:hint="eastAsia" w:ascii="宋体" w:hAnsi="宋体" w:eastAsia="宋体" w:cs="宋体"/>
          <w:color w:val="auto"/>
          <w:kern w:val="0"/>
          <w:szCs w:val="21"/>
          <w:highlight w:val="none"/>
        </w:rPr>
        <w:t>遵守甲方的《安全生产规章制度》等相关管理制度，服从甲方生产作业人员和安全管理人员的现场安全管理</w:t>
      </w:r>
      <w:r>
        <w:rPr>
          <w:rFonts w:hint="eastAsia" w:ascii="宋体" w:hAnsi="宋体" w:eastAsia="宋体" w:cs="宋体"/>
          <w:color w:val="auto"/>
          <w:kern w:val="0"/>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000000"/>
          <w:sz w:val="21"/>
          <w:szCs w:val="21"/>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非因甲方原因，乙方人员或车辆在甲方生产作业区域内遭受的人身、财产损失均由乙方自行负责。乙方人员在作业活动过程中因未遵守甲方的安全相关管理制度而导致事故发生的，由乙方全面负责；因此造成甲方损失的，应由乙方负责赔偿。</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十</w:t>
      </w:r>
      <w:r>
        <w:rPr>
          <w:rFonts w:hint="eastAsia"/>
          <w:b/>
          <w:lang w:val="en-US" w:eastAsia="zh-CN"/>
        </w:rPr>
        <w:t>一</w:t>
      </w:r>
      <w:r>
        <w:rPr>
          <w:rFonts w:hint="eastAsia"/>
          <w:b/>
        </w:rPr>
        <w:t>、合同生效</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1、本合同自双方法定代表人（或授权代表）签字或加盖单位公章之日起生效。如果合同由法定代表人签字的，应提供加盖单位公章的法定代表人身份证明；由授权代表签字的，应提供法定代表人签字并加盖单位公章的授权委托书原件并同时提供法定代表人身份证明；法定代表人应与单位营业执照上的法定代表人一致。</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2、本合同未尽事宜，遵照《中华人民共和国民法典》有关条文执行。</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color w:val="000000"/>
          <w:sz w:val="21"/>
          <w:szCs w:val="21"/>
        </w:rPr>
      </w:pPr>
      <w:r>
        <w:rPr>
          <w:rFonts w:hint="eastAsia"/>
          <w:color w:val="000000"/>
          <w:sz w:val="21"/>
          <w:szCs w:val="21"/>
        </w:rPr>
        <w:t>3、本合同一式</w:t>
      </w:r>
      <w:r>
        <w:rPr>
          <w:rFonts w:hint="eastAsia"/>
          <w:color w:val="000000"/>
          <w:sz w:val="21"/>
          <w:szCs w:val="21"/>
          <w:u w:val="single"/>
        </w:rPr>
        <w:t xml:space="preserve"> 肆 </w:t>
      </w:r>
      <w:r>
        <w:rPr>
          <w:rFonts w:hint="eastAsia"/>
          <w:color w:val="000000"/>
          <w:sz w:val="21"/>
          <w:szCs w:val="21"/>
        </w:rPr>
        <w:t>份，甲乙双方各执</w:t>
      </w:r>
      <w:r>
        <w:rPr>
          <w:rFonts w:hint="eastAsia"/>
          <w:color w:val="000000"/>
          <w:sz w:val="21"/>
          <w:szCs w:val="21"/>
          <w:u w:val="single"/>
        </w:rPr>
        <w:t xml:space="preserve"> 贰 </w:t>
      </w:r>
      <w:r>
        <w:rPr>
          <w:rFonts w:hint="eastAsia"/>
          <w:color w:val="000000"/>
          <w:sz w:val="21"/>
          <w:szCs w:val="21"/>
        </w:rPr>
        <w:t>份，具有</w:t>
      </w:r>
      <w:r>
        <w:rPr>
          <w:color w:val="000000"/>
          <w:sz w:val="21"/>
          <w:szCs w:val="21"/>
        </w:rPr>
        <w:t>同等法律效力。</w:t>
      </w:r>
    </w:p>
    <w:p>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jc w:val="both"/>
        <w:textAlignment w:val="auto"/>
        <w:rPr>
          <w:rFonts w:hint="default" w:eastAsia="宋体"/>
          <w:b/>
          <w:bCs/>
          <w:color w:val="000000"/>
          <w:sz w:val="21"/>
          <w:szCs w:val="21"/>
          <w:lang w:val="en-US" w:eastAsia="zh-CN"/>
        </w:rPr>
      </w:pPr>
      <w:r>
        <w:rPr>
          <w:rFonts w:hint="eastAsia"/>
          <w:b/>
          <w:bCs/>
          <w:color w:val="000000"/>
          <w:sz w:val="21"/>
          <w:szCs w:val="21"/>
          <w:lang w:val="en-US" w:eastAsia="zh-CN"/>
        </w:rPr>
        <w:t>4、特别约定：乙方应遵守防疫部门和甲方疫情防控相关规定，规定周期内进行核酸检测，并做到疫苗“应接尽接”（所产的费用由乙方承担）。将疫苗接种凭证和每周期的检测结果到甲方相关部门进行备案</w:t>
      </w:r>
    </w:p>
    <w:p>
      <w:pPr>
        <w:pStyle w:val="12"/>
        <w:keepNext w:val="0"/>
        <w:keepLines w:val="0"/>
        <w:pageBreakBefore w:val="0"/>
        <w:kinsoku/>
        <w:wordWrap/>
        <w:overflowPunct/>
        <w:topLinePunct w:val="0"/>
        <w:autoSpaceDE/>
        <w:autoSpaceDN/>
        <w:bidi w:val="0"/>
        <w:adjustRightInd/>
        <w:snapToGrid/>
        <w:spacing w:line="360" w:lineRule="auto"/>
        <w:ind w:firstLine="422" w:firstLineChars="200"/>
        <w:textAlignment w:val="auto"/>
        <w:rPr>
          <w:b/>
        </w:rPr>
      </w:pPr>
      <w:r>
        <w:rPr>
          <w:rFonts w:hint="eastAsia"/>
          <w:b/>
        </w:rPr>
        <w:t>十</w:t>
      </w:r>
      <w:r>
        <w:rPr>
          <w:rFonts w:hint="eastAsia"/>
          <w:b/>
          <w:lang w:val="en-US" w:eastAsia="zh-CN"/>
        </w:rPr>
        <w:t>二</w:t>
      </w:r>
      <w:r>
        <w:rPr>
          <w:rFonts w:hint="eastAsia"/>
          <w:b/>
        </w:rPr>
        <w:t>、合同附件</w:t>
      </w:r>
    </w:p>
    <w:p>
      <w:pPr>
        <w:pStyle w:val="20"/>
        <w:keepNext w:val="0"/>
        <w:keepLines w:val="0"/>
        <w:pageBreakBefore w:val="0"/>
        <w:kinsoku/>
        <w:wordWrap/>
        <w:overflowPunct/>
        <w:topLinePunct w:val="0"/>
        <w:autoSpaceDE/>
        <w:autoSpaceDN/>
        <w:bidi w:val="0"/>
        <w:adjustRightInd/>
        <w:snapToGrid/>
        <w:spacing w:after="0" w:line="360" w:lineRule="auto"/>
        <w:ind w:firstLineChars="200"/>
        <w:textAlignment w:val="auto"/>
      </w:pPr>
      <w:r>
        <w:rPr>
          <w:rFonts w:hint="eastAsia"/>
        </w:rPr>
        <w:t>附件</w:t>
      </w:r>
      <w:r>
        <w:rPr>
          <w:rFonts w:hint="eastAsia"/>
          <w:lang w:val="en-US" w:eastAsia="zh-CN"/>
        </w:rPr>
        <w:t>1</w:t>
      </w:r>
      <w:r>
        <w:rPr>
          <w:rFonts w:hint="eastAsia"/>
        </w:rPr>
        <w:t>：廉洁协议</w:t>
      </w:r>
    </w:p>
    <w:p>
      <w:pPr>
        <w:pStyle w:val="20"/>
        <w:keepNext w:val="0"/>
        <w:keepLines w:val="0"/>
        <w:pageBreakBefore w:val="0"/>
        <w:kinsoku/>
        <w:wordWrap/>
        <w:overflowPunct/>
        <w:topLinePunct w:val="0"/>
        <w:autoSpaceDE/>
        <w:autoSpaceDN/>
        <w:bidi w:val="0"/>
        <w:adjustRightInd/>
        <w:snapToGrid/>
        <w:spacing w:after="0" w:line="360" w:lineRule="auto"/>
        <w:ind w:firstLineChars="200"/>
        <w:textAlignment w:val="auto"/>
      </w:pPr>
      <w:r>
        <w:rPr>
          <w:rFonts w:hint="eastAsia"/>
        </w:rPr>
        <w:t>附件</w:t>
      </w:r>
      <w:r>
        <w:rPr>
          <w:rFonts w:hint="eastAsia"/>
          <w:lang w:val="en-US" w:eastAsia="zh-CN"/>
        </w:rPr>
        <w:t>2</w:t>
      </w:r>
      <w:r>
        <w:rPr>
          <w:rFonts w:hint="eastAsia"/>
        </w:rPr>
        <w:t>：</w:t>
      </w:r>
      <w:r>
        <w:t>安全生产</w:t>
      </w:r>
      <w:r>
        <w:rPr>
          <w:rFonts w:hint="eastAsia"/>
        </w:rPr>
        <w:t>管理</w:t>
      </w:r>
      <w:r>
        <w:t>协议</w:t>
      </w:r>
    </w:p>
    <w:p>
      <w:pPr>
        <w:pStyle w:val="20"/>
        <w:keepNext w:val="0"/>
        <w:keepLines w:val="0"/>
        <w:pageBreakBefore w:val="0"/>
        <w:kinsoku/>
        <w:wordWrap/>
        <w:overflowPunct/>
        <w:topLinePunct w:val="0"/>
        <w:autoSpaceDE/>
        <w:autoSpaceDN/>
        <w:bidi w:val="0"/>
        <w:adjustRightInd/>
        <w:snapToGrid/>
        <w:spacing w:after="0" w:line="360" w:lineRule="auto"/>
        <w:ind w:firstLineChars="200"/>
        <w:textAlignment w:val="auto"/>
        <w:rPr>
          <w:rFonts w:hint="eastAsia"/>
        </w:rPr>
      </w:pPr>
      <w:r>
        <w:rPr>
          <w:rFonts w:hint="eastAsia"/>
        </w:rPr>
        <w:t>附件</w:t>
      </w:r>
      <w:r>
        <w:rPr>
          <w:rFonts w:hint="eastAsia"/>
          <w:lang w:val="en-US" w:eastAsia="zh-CN"/>
        </w:rPr>
        <w:t>3</w:t>
      </w:r>
      <w:r>
        <w:rPr>
          <w:rFonts w:hint="eastAsia"/>
        </w:rPr>
        <w:t>：疫情防控期间第三方单位进港作业防疫管理协议</w:t>
      </w:r>
    </w:p>
    <w:p>
      <w:pPr>
        <w:pStyle w:val="20"/>
        <w:keepNext w:val="0"/>
        <w:keepLines w:val="0"/>
        <w:pageBreakBefore w:val="0"/>
        <w:kinsoku/>
        <w:wordWrap/>
        <w:overflowPunct/>
        <w:topLinePunct w:val="0"/>
        <w:autoSpaceDE/>
        <w:autoSpaceDN/>
        <w:bidi w:val="0"/>
        <w:adjustRightInd/>
        <w:snapToGrid/>
        <w:spacing w:after="0" w:line="360" w:lineRule="auto"/>
        <w:ind w:firstLineChars="200"/>
        <w:textAlignment w:val="auto"/>
        <w:rPr>
          <w:rFonts w:hint="eastAsia"/>
        </w:rPr>
      </w:pPr>
    </w:p>
    <w:p>
      <w:pPr>
        <w:pStyle w:val="20"/>
        <w:keepNext w:val="0"/>
        <w:keepLines w:val="0"/>
        <w:pageBreakBefore w:val="0"/>
        <w:kinsoku/>
        <w:wordWrap/>
        <w:overflowPunct/>
        <w:topLinePunct w:val="0"/>
        <w:autoSpaceDE/>
        <w:autoSpaceDN/>
        <w:bidi w:val="0"/>
        <w:adjustRightInd/>
        <w:snapToGrid/>
        <w:spacing w:after="0" w:line="360" w:lineRule="auto"/>
        <w:ind w:firstLineChars="200"/>
        <w:textAlignment w:val="auto"/>
        <w:rPr>
          <w:rFonts w:hint="eastAsia"/>
        </w:rPr>
      </w:pPr>
    </w:p>
    <w:p>
      <w:pPr>
        <w:pStyle w:val="20"/>
        <w:keepNext w:val="0"/>
        <w:keepLines w:val="0"/>
        <w:pageBreakBefore w:val="0"/>
        <w:kinsoku/>
        <w:wordWrap/>
        <w:overflowPunct/>
        <w:topLinePunct w:val="0"/>
        <w:autoSpaceDE/>
        <w:autoSpaceDN/>
        <w:bidi w:val="0"/>
        <w:adjustRightInd/>
        <w:snapToGrid/>
        <w:spacing w:after="0" w:line="360" w:lineRule="auto"/>
        <w:ind w:firstLineChars="200"/>
        <w:textAlignment w:val="auto"/>
        <w:rPr>
          <w:rFonts w:hint="eastAsia"/>
        </w:rPr>
      </w:pPr>
    </w:p>
    <w:p>
      <w:pPr>
        <w:pStyle w:val="20"/>
        <w:spacing w:after="0" w:line="360" w:lineRule="auto"/>
        <w:ind w:left="0" w:leftChars="0" w:firstLine="0" w:firstLineChars="0"/>
      </w:pPr>
    </w:p>
    <w:p>
      <w:pPr>
        <w:spacing w:line="360" w:lineRule="auto"/>
        <w:rPr>
          <w:rFonts w:ascii="宋体" w:hAnsi="宋体"/>
          <w:sz w:val="21"/>
          <w:szCs w:val="21"/>
        </w:rPr>
      </w:pPr>
      <w:r>
        <w:rPr>
          <w:rFonts w:hint="eastAsia" w:ascii="宋体" w:hAnsi="宋体"/>
          <w:sz w:val="21"/>
          <w:szCs w:val="21"/>
        </w:rPr>
        <w:t>（此页为签章页）</w:t>
      </w:r>
    </w:p>
    <w:p>
      <w:pPr>
        <w:spacing w:line="360" w:lineRule="auto"/>
        <w:ind w:firstLine="420" w:firstLineChars="200"/>
        <w:rPr>
          <w:sz w:val="21"/>
          <w:szCs w:val="21"/>
        </w:rPr>
      </w:pPr>
      <w:r>
        <w:rPr>
          <w:rFonts w:hint="eastAsia"/>
          <w:sz w:val="21"/>
          <w:szCs w:val="21"/>
        </w:rPr>
        <w:t>甲乙双方于【   】年【  】月【  】日在【浙江平湖】正式签署本合同，以昭信守。</w:t>
      </w:r>
    </w:p>
    <w:tbl>
      <w:tblPr>
        <w:tblStyle w:val="21"/>
        <w:tblW w:w="8532" w:type="dxa"/>
        <w:jc w:val="center"/>
        <w:tblLayout w:type="fixed"/>
        <w:tblCellMar>
          <w:top w:w="0" w:type="dxa"/>
          <w:left w:w="108" w:type="dxa"/>
          <w:bottom w:w="0" w:type="dxa"/>
          <w:right w:w="108" w:type="dxa"/>
        </w:tblCellMar>
      </w:tblPr>
      <w:tblGrid>
        <w:gridCol w:w="4060"/>
        <w:gridCol w:w="4472"/>
      </w:tblGrid>
      <w:tr>
        <w:tblPrEx>
          <w:tblCellMar>
            <w:top w:w="0" w:type="dxa"/>
            <w:left w:w="108" w:type="dxa"/>
            <w:bottom w:w="0" w:type="dxa"/>
            <w:right w:w="108" w:type="dxa"/>
          </w:tblCellMar>
        </w:tblPrEx>
        <w:trPr>
          <w:trHeight w:val="1564" w:hRule="atLeast"/>
          <w:jc w:val="center"/>
        </w:trPr>
        <w:tc>
          <w:tcPr>
            <w:tcW w:w="4060" w:type="dxa"/>
          </w:tcPr>
          <w:p>
            <w:pPr>
              <w:rPr>
                <w:b/>
                <w:bCs/>
                <w:sz w:val="24"/>
                <w:szCs w:val="24"/>
              </w:rPr>
            </w:pPr>
            <w:r>
              <w:rPr>
                <w:rFonts w:hint="eastAsia"/>
                <w:b/>
                <w:bCs/>
                <w:sz w:val="24"/>
                <w:szCs w:val="24"/>
              </w:rPr>
              <w:t>甲方（盖章）：</w:t>
            </w:r>
          </w:p>
          <w:p>
            <w:pPr>
              <w:pStyle w:val="2"/>
              <w:ind w:firstLine="562"/>
              <w:rPr>
                <w:rFonts w:ascii="宋体" w:hAnsi="宋体" w:cs="Arial"/>
                <w:b/>
                <w:bCs/>
                <w:szCs w:val="24"/>
              </w:rPr>
            </w:pPr>
          </w:p>
          <w:p>
            <w:pPr>
              <w:pStyle w:val="2"/>
              <w:ind w:firstLine="562"/>
              <w:rPr>
                <w:rFonts w:ascii="宋体" w:hAnsi="宋体" w:cs="Arial"/>
                <w:b/>
                <w:bCs/>
                <w:szCs w:val="24"/>
              </w:rPr>
            </w:pPr>
          </w:p>
          <w:p>
            <w:pPr>
              <w:pStyle w:val="2"/>
              <w:ind w:firstLine="562"/>
              <w:rPr>
                <w:rFonts w:ascii="宋体" w:hAnsi="宋体" w:cs="Arial"/>
                <w:b/>
                <w:bCs/>
                <w:szCs w:val="24"/>
              </w:rPr>
            </w:pPr>
          </w:p>
          <w:p>
            <w:pPr>
              <w:pStyle w:val="2"/>
              <w:ind w:firstLine="562"/>
              <w:rPr>
                <w:rFonts w:ascii="宋体" w:hAnsi="宋体" w:cs="Arial"/>
                <w:b/>
                <w:bCs/>
                <w:szCs w:val="24"/>
              </w:rPr>
            </w:pPr>
          </w:p>
          <w:p>
            <w:pPr>
              <w:pStyle w:val="2"/>
              <w:ind w:firstLine="562"/>
              <w:rPr>
                <w:rFonts w:ascii="宋体" w:hAnsi="宋体" w:cs="Arial"/>
                <w:b/>
                <w:bCs/>
                <w:szCs w:val="24"/>
              </w:rPr>
            </w:pPr>
          </w:p>
        </w:tc>
        <w:tc>
          <w:tcPr>
            <w:tcW w:w="4472" w:type="dxa"/>
          </w:tcPr>
          <w:p>
            <w:pPr>
              <w:rPr>
                <w:rFonts w:ascii="宋体" w:hAnsi="宋体" w:cs="Arial"/>
                <w:b/>
                <w:bCs/>
                <w:kern w:val="0"/>
                <w:sz w:val="24"/>
                <w:szCs w:val="24"/>
              </w:rPr>
            </w:pPr>
            <w:r>
              <w:rPr>
                <w:rFonts w:hint="eastAsia" w:ascii="宋体" w:hAnsi="宋体" w:cs="Arial"/>
                <w:b/>
                <w:bCs/>
                <w:kern w:val="0"/>
                <w:sz w:val="24"/>
                <w:szCs w:val="24"/>
              </w:rPr>
              <w:t>乙方：（盖章）</w:t>
            </w:r>
          </w:p>
          <w:p>
            <w:pPr>
              <w:rPr>
                <w:rFonts w:ascii="宋体" w:hAnsi="宋体" w:cs="Arial"/>
                <w:b/>
                <w:bCs/>
                <w:kern w:val="0"/>
                <w:sz w:val="24"/>
                <w:szCs w:val="24"/>
              </w:rPr>
            </w:pPr>
          </w:p>
          <w:p>
            <w:pPr>
              <w:rPr>
                <w:rFonts w:ascii="宋体" w:hAnsi="宋体" w:cs="Arial"/>
                <w:b/>
                <w:bCs/>
                <w:kern w:val="0"/>
                <w:sz w:val="24"/>
                <w:szCs w:val="24"/>
              </w:rPr>
            </w:pPr>
          </w:p>
          <w:p>
            <w:pPr>
              <w:rPr>
                <w:rFonts w:ascii="宋体" w:hAnsi="宋体" w:cs="Arial"/>
                <w:b/>
                <w:bCs/>
                <w:kern w:val="0"/>
                <w:sz w:val="24"/>
                <w:szCs w:val="24"/>
              </w:rPr>
            </w:pPr>
          </w:p>
          <w:p>
            <w:pPr>
              <w:rPr>
                <w:rFonts w:ascii="宋体" w:hAnsi="宋体" w:cs="Arial"/>
                <w:b/>
                <w:bCs/>
                <w:kern w:val="0"/>
                <w:sz w:val="24"/>
                <w:szCs w:val="24"/>
              </w:rPr>
            </w:pPr>
          </w:p>
          <w:p>
            <w:pPr>
              <w:rPr>
                <w:rFonts w:ascii="宋体" w:hAnsi="宋体" w:cs="Arial"/>
                <w:b/>
                <w:bCs/>
                <w:kern w:val="0"/>
                <w:sz w:val="24"/>
                <w:szCs w:val="24"/>
              </w:rPr>
            </w:pPr>
          </w:p>
          <w:p>
            <w:pPr>
              <w:rPr>
                <w:rFonts w:ascii="宋体" w:hAnsi="宋体" w:cs="Arial"/>
                <w:b/>
                <w:bCs/>
                <w:kern w:val="0"/>
                <w:sz w:val="24"/>
                <w:szCs w:val="24"/>
              </w:rPr>
            </w:pPr>
          </w:p>
        </w:tc>
      </w:tr>
      <w:tr>
        <w:tblPrEx>
          <w:tblCellMar>
            <w:top w:w="0" w:type="dxa"/>
            <w:left w:w="108" w:type="dxa"/>
            <w:bottom w:w="0" w:type="dxa"/>
            <w:right w:w="108" w:type="dxa"/>
          </w:tblCellMar>
        </w:tblPrEx>
        <w:trPr>
          <w:trHeight w:val="1808" w:hRule="atLeast"/>
          <w:jc w:val="center"/>
        </w:trPr>
        <w:tc>
          <w:tcPr>
            <w:tcW w:w="4060" w:type="dxa"/>
          </w:tcPr>
          <w:p>
            <w:pPr>
              <w:rPr>
                <w:b/>
                <w:bCs/>
                <w:sz w:val="24"/>
                <w:szCs w:val="24"/>
              </w:rPr>
            </w:pPr>
            <w:r>
              <w:rPr>
                <w:rFonts w:hint="eastAsia"/>
                <w:b/>
                <w:bCs/>
                <w:sz w:val="24"/>
                <w:szCs w:val="24"/>
              </w:rPr>
              <w:t>法定代表人或授权代表：</w:t>
            </w:r>
          </w:p>
          <w:p>
            <w:pPr>
              <w:rPr>
                <w:sz w:val="24"/>
                <w:szCs w:val="24"/>
              </w:rPr>
            </w:pPr>
          </w:p>
          <w:p>
            <w:pPr>
              <w:rPr>
                <w:sz w:val="24"/>
                <w:szCs w:val="24"/>
              </w:rPr>
            </w:pPr>
          </w:p>
          <w:p>
            <w:pPr>
              <w:pStyle w:val="2"/>
              <w:ind w:firstLine="562"/>
              <w:rPr>
                <w:rFonts w:ascii="宋体" w:hAnsi="宋体" w:cs="Arial"/>
                <w:b/>
                <w:bCs/>
                <w:szCs w:val="24"/>
              </w:rPr>
            </w:pPr>
          </w:p>
          <w:p>
            <w:pPr>
              <w:pStyle w:val="2"/>
              <w:ind w:firstLine="0" w:firstLineChars="0"/>
              <w:rPr>
                <w:rFonts w:ascii="宋体" w:hAnsi="宋体" w:cs="Arial"/>
                <w:b/>
                <w:bCs/>
                <w:szCs w:val="24"/>
              </w:rPr>
            </w:pPr>
          </w:p>
        </w:tc>
        <w:tc>
          <w:tcPr>
            <w:tcW w:w="4472" w:type="dxa"/>
          </w:tcPr>
          <w:p>
            <w:pPr>
              <w:rPr>
                <w:rFonts w:ascii="宋体" w:hAnsi="宋体" w:cs="Arial"/>
                <w:b/>
                <w:bCs/>
                <w:kern w:val="0"/>
                <w:sz w:val="24"/>
                <w:szCs w:val="24"/>
              </w:rPr>
            </w:pPr>
            <w:r>
              <w:rPr>
                <w:rFonts w:hint="eastAsia" w:ascii="宋体" w:hAnsi="宋体" w:cs="Arial"/>
                <w:b/>
                <w:bCs/>
                <w:kern w:val="0"/>
                <w:sz w:val="24"/>
                <w:szCs w:val="24"/>
              </w:rPr>
              <w:t>法定代表人或授权代表：</w:t>
            </w:r>
          </w:p>
          <w:p>
            <w:pPr>
              <w:rPr>
                <w:rFonts w:ascii="宋体" w:hAnsi="宋体" w:cs="Arial"/>
                <w:b/>
                <w:bCs/>
                <w:kern w:val="0"/>
                <w:sz w:val="24"/>
                <w:szCs w:val="24"/>
              </w:rPr>
            </w:pPr>
          </w:p>
        </w:tc>
      </w:tr>
      <w:tr>
        <w:tblPrEx>
          <w:tblCellMar>
            <w:top w:w="0" w:type="dxa"/>
            <w:left w:w="108" w:type="dxa"/>
            <w:bottom w:w="0" w:type="dxa"/>
            <w:right w:w="108" w:type="dxa"/>
          </w:tblCellMar>
        </w:tblPrEx>
        <w:trPr>
          <w:jc w:val="center"/>
        </w:trPr>
        <w:tc>
          <w:tcPr>
            <w:tcW w:w="4060" w:type="dxa"/>
            <w:vAlign w:val="center"/>
          </w:tcPr>
          <w:p>
            <w:pPr>
              <w:rPr>
                <w:rFonts w:hint="eastAsia" w:eastAsia="宋体"/>
                <w:szCs w:val="21"/>
                <w:lang w:eastAsia="zh-CN"/>
              </w:rPr>
            </w:pPr>
            <w:r>
              <w:rPr>
                <w:rFonts w:hint="eastAsia"/>
                <w:szCs w:val="21"/>
              </w:rPr>
              <w:t>企业地址：</w:t>
            </w:r>
            <w:r>
              <w:rPr>
                <w:szCs w:val="21"/>
              </w:rPr>
              <w:t xml:space="preserve"> </w:t>
            </w:r>
          </w:p>
        </w:tc>
        <w:tc>
          <w:tcPr>
            <w:tcW w:w="4472" w:type="dxa"/>
            <w:vAlign w:val="center"/>
          </w:tcPr>
          <w:p>
            <w:pPr>
              <w:rPr>
                <w:szCs w:val="21"/>
              </w:rPr>
            </w:pPr>
            <w:r>
              <w:rPr>
                <w:rFonts w:hint="eastAsia"/>
                <w:szCs w:val="21"/>
              </w:rPr>
              <w:t>企业地址：</w:t>
            </w:r>
          </w:p>
        </w:tc>
      </w:tr>
      <w:tr>
        <w:tblPrEx>
          <w:tblCellMar>
            <w:top w:w="0" w:type="dxa"/>
            <w:left w:w="108" w:type="dxa"/>
            <w:bottom w:w="0" w:type="dxa"/>
            <w:right w:w="108" w:type="dxa"/>
          </w:tblCellMar>
        </w:tblPrEx>
        <w:trPr>
          <w:trHeight w:val="237" w:hRule="atLeast"/>
          <w:jc w:val="center"/>
        </w:trPr>
        <w:tc>
          <w:tcPr>
            <w:tcW w:w="4060" w:type="dxa"/>
            <w:vAlign w:val="center"/>
          </w:tcPr>
          <w:p>
            <w:pPr>
              <w:rPr>
                <w:szCs w:val="21"/>
              </w:rPr>
            </w:pPr>
            <w:r>
              <w:rPr>
                <w:rFonts w:hint="eastAsia"/>
                <w:szCs w:val="21"/>
              </w:rPr>
              <w:t>纳税人识别号：</w:t>
            </w:r>
          </w:p>
        </w:tc>
        <w:tc>
          <w:tcPr>
            <w:tcW w:w="4472" w:type="dxa"/>
            <w:vAlign w:val="center"/>
          </w:tcPr>
          <w:p>
            <w:pPr>
              <w:rPr>
                <w:szCs w:val="21"/>
              </w:rPr>
            </w:pPr>
            <w:r>
              <w:rPr>
                <w:rFonts w:hint="eastAsia"/>
                <w:szCs w:val="21"/>
              </w:rPr>
              <w:t>纳税人识别号：</w:t>
            </w:r>
          </w:p>
        </w:tc>
      </w:tr>
      <w:tr>
        <w:tblPrEx>
          <w:tblCellMar>
            <w:top w:w="0" w:type="dxa"/>
            <w:left w:w="108" w:type="dxa"/>
            <w:bottom w:w="0" w:type="dxa"/>
            <w:right w:w="108" w:type="dxa"/>
          </w:tblCellMar>
        </w:tblPrEx>
        <w:trPr>
          <w:jc w:val="center"/>
        </w:trPr>
        <w:tc>
          <w:tcPr>
            <w:tcW w:w="4060" w:type="dxa"/>
            <w:vAlign w:val="center"/>
          </w:tcPr>
          <w:p>
            <w:pPr>
              <w:rPr>
                <w:szCs w:val="21"/>
              </w:rPr>
            </w:pPr>
            <w:r>
              <w:rPr>
                <w:rFonts w:hint="eastAsia"/>
                <w:szCs w:val="21"/>
              </w:rPr>
              <w:t>开户行：</w:t>
            </w:r>
          </w:p>
        </w:tc>
        <w:tc>
          <w:tcPr>
            <w:tcW w:w="4472" w:type="dxa"/>
            <w:vAlign w:val="center"/>
          </w:tcPr>
          <w:p>
            <w:pPr>
              <w:rPr>
                <w:szCs w:val="21"/>
              </w:rPr>
            </w:pPr>
            <w:r>
              <w:rPr>
                <w:rFonts w:hint="eastAsia"/>
                <w:szCs w:val="21"/>
              </w:rPr>
              <w:t>开户行：</w:t>
            </w:r>
          </w:p>
        </w:tc>
      </w:tr>
      <w:tr>
        <w:tblPrEx>
          <w:tblCellMar>
            <w:top w:w="0" w:type="dxa"/>
            <w:left w:w="108" w:type="dxa"/>
            <w:bottom w:w="0" w:type="dxa"/>
            <w:right w:w="108" w:type="dxa"/>
          </w:tblCellMar>
        </w:tblPrEx>
        <w:trPr>
          <w:jc w:val="center"/>
        </w:trPr>
        <w:tc>
          <w:tcPr>
            <w:tcW w:w="4060" w:type="dxa"/>
            <w:vAlign w:val="center"/>
          </w:tcPr>
          <w:p>
            <w:pPr>
              <w:rPr>
                <w:szCs w:val="21"/>
              </w:rPr>
            </w:pPr>
            <w:r>
              <w:rPr>
                <w:rFonts w:hint="eastAsia"/>
                <w:szCs w:val="21"/>
              </w:rPr>
              <w:t>银行账号：</w:t>
            </w:r>
          </w:p>
        </w:tc>
        <w:tc>
          <w:tcPr>
            <w:tcW w:w="4472" w:type="dxa"/>
            <w:vAlign w:val="center"/>
          </w:tcPr>
          <w:p>
            <w:pPr>
              <w:rPr>
                <w:szCs w:val="21"/>
              </w:rPr>
            </w:pPr>
            <w:r>
              <w:rPr>
                <w:rFonts w:hint="eastAsia"/>
                <w:szCs w:val="21"/>
              </w:rPr>
              <w:t>银行账号：</w:t>
            </w:r>
          </w:p>
        </w:tc>
      </w:tr>
      <w:tr>
        <w:tblPrEx>
          <w:tblCellMar>
            <w:top w:w="0" w:type="dxa"/>
            <w:left w:w="108" w:type="dxa"/>
            <w:bottom w:w="0" w:type="dxa"/>
            <w:right w:w="108" w:type="dxa"/>
          </w:tblCellMar>
        </w:tblPrEx>
        <w:trPr>
          <w:trHeight w:val="260" w:hRule="atLeast"/>
          <w:jc w:val="center"/>
        </w:trPr>
        <w:tc>
          <w:tcPr>
            <w:tcW w:w="4060" w:type="dxa"/>
            <w:vAlign w:val="center"/>
          </w:tcPr>
          <w:p>
            <w:pPr>
              <w:rPr>
                <w:rFonts w:hint="eastAsia" w:eastAsia="宋体"/>
                <w:szCs w:val="21"/>
                <w:lang w:val="en-US" w:eastAsia="zh-CN"/>
              </w:rPr>
            </w:pPr>
            <w:r>
              <w:rPr>
                <w:rFonts w:hint="eastAsia"/>
                <w:szCs w:val="21"/>
              </w:rPr>
              <w:t xml:space="preserve">联系人： </w:t>
            </w:r>
          </w:p>
        </w:tc>
        <w:tc>
          <w:tcPr>
            <w:tcW w:w="4472" w:type="dxa"/>
            <w:vAlign w:val="center"/>
          </w:tcPr>
          <w:p>
            <w:pPr>
              <w:rPr>
                <w:szCs w:val="21"/>
              </w:rPr>
            </w:pPr>
            <w:r>
              <w:rPr>
                <w:rFonts w:hint="eastAsia"/>
                <w:szCs w:val="21"/>
              </w:rPr>
              <w:t>联系人：</w:t>
            </w:r>
          </w:p>
        </w:tc>
      </w:tr>
      <w:tr>
        <w:tblPrEx>
          <w:tblCellMar>
            <w:top w:w="0" w:type="dxa"/>
            <w:left w:w="108" w:type="dxa"/>
            <w:bottom w:w="0" w:type="dxa"/>
            <w:right w:w="108" w:type="dxa"/>
          </w:tblCellMar>
        </w:tblPrEx>
        <w:trPr>
          <w:jc w:val="center"/>
        </w:trPr>
        <w:tc>
          <w:tcPr>
            <w:tcW w:w="4060" w:type="dxa"/>
            <w:vAlign w:val="center"/>
          </w:tcPr>
          <w:p>
            <w:pPr>
              <w:rPr>
                <w:szCs w:val="21"/>
              </w:rPr>
            </w:pPr>
            <w:r>
              <w:rPr>
                <w:rFonts w:hint="eastAsia"/>
                <w:szCs w:val="21"/>
              </w:rPr>
              <w:t>联系方式：</w:t>
            </w:r>
          </w:p>
        </w:tc>
        <w:tc>
          <w:tcPr>
            <w:tcW w:w="4472" w:type="dxa"/>
            <w:vAlign w:val="center"/>
          </w:tcPr>
          <w:p>
            <w:pPr>
              <w:rPr>
                <w:szCs w:val="21"/>
              </w:rPr>
            </w:pPr>
            <w:r>
              <w:rPr>
                <w:rFonts w:hint="eastAsia"/>
                <w:szCs w:val="21"/>
              </w:rPr>
              <w:t>联系方式：</w:t>
            </w:r>
          </w:p>
        </w:tc>
      </w:tr>
    </w:tbl>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pStyle w:val="30"/>
        <w:adjustRightInd w:val="0"/>
        <w:spacing w:line="360" w:lineRule="auto"/>
        <w:ind w:firstLine="0" w:firstLineChars="0"/>
        <w:rPr>
          <w:rFonts w:ascii="宋体" w:hAnsi="宋体"/>
          <w:b/>
          <w:bCs/>
        </w:rPr>
      </w:pPr>
    </w:p>
    <w:p>
      <w:pPr>
        <w:rPr>
          <w:rFonts w:hint="eastAsia" w:ascii="宋体" w:hAnsi="宋体" w:cs="宋体"/>
          <w:sz w:val="21"/>
          <w:szCs w:val="21"/>
        </w:rPr>
      </w:pPr>
      <w:bookmarkStart w:id="20" w:name="_Toc45177212"/>
    </w:p>
    <w:p>
      <w:pPr>
        <w:rPr>
          <w:rFonts w:hint="eastAsia" w:ascii="宋体" w:hAnsi="宋体" w:cs="宋体"/>
          <w:sz w:val="21"/>
          <w:szCs w:val="21"/>
        </w:rPr>
      </w:pPr>
    </w:p>
    <w:p>
      <w:pPr>
        <w:jc w:val="both"/>
        <w:rPr>
          <w:rFonts w:hint="eastAsia" w:ascii="宋体" w:hAnsi="宋体" w:cs="宋体"/>
          <w:b/>
          <w:bCs/>
          <w:sz w:val="21"/>
          <w:szCs w:val="21"/>
          <w:lang w:val="en-US" w:eastAsia="zh-CN"/>
        </w:rPr>
      </w:pPr>
    </w:p>
    <w:p>
      <w:pPr>
        <w:rPr>
          <w:rFonts w:hint="eastAsia" w:ascii="宋体" w:hAnsi="宋体" w:cs="宋体"/>
          <w:b/>
          <w:bCs/>
          <w:sz w:val="21"/>
          <w:szCs w:val="21"/>
          <w:lang w:val="en-US" w:eastAsia="zh-CN"/>
        </w:rPr>
      </w:pPr>
    </w:p>
    <w:p>
      <w:pPr>
        <w:jc w:val="center"/>
        <w:outlineLvl w:val="1"/>
        <w:rPr>
          <w:rFonts w:hint="eastAsia" w:eastAsia="宋体"/>
          <w:lang w:eastAsia="zh-CN"/>
        </w:rPr>
      </w:pPr>
      <w:bookmarkStart w:id="21" w:name="_Toc15467"/>
      <w:r>
        <w:rPr>
          <w:rFonts w:hint="eastAsia" w:ascii="宋体" w:hAnsi="宋体" w:cs="宋体"/>
          <w:b/>
          <w:bCs/>
          <w:sz w:val="21"/>
          <w:szCs w:val="21"/>
          <w:lang w:val="en-US" w:eastAsia="zh-CN"/>
        </w:rPr>
        <w:t>二、合同附件</w:t>
      </w:r>
      <w:bookmarkEnd w:id="21"/>
    </w:p>
    <w:p>
      <w:pPr>
        <w:rPr>
          <w:rFonts w:hint="eastAsia" w:eastAsia="宋体"/>
          <w:lang w:eastAsia="zh-CN"/>
        </w:rPr>
      </w:pPr>
    </w:p>
    <w:p>
      <w:pPr>
        <w:pStyle w:val="6"/>
        <w:rPr>
          <w:rFonts w:cs="黑体" w:asciiTheme="minorEastAsia" w:hAnsiTheme="minorEastAsia" w:eastAsiaTheme="minorEastAsia"/>
          <w:bCs/>
          <w:sz w:val="21"/>
          <w:szCs w:val="21"/>
        </w:rPr>
      </w:pPr>
      <w:bookmarkStart w:id="22" w:name="_Toc25097"/>
      <w:r>
        <w:rPr>
          <w:rFonts w:hint="eastAsia" w:cs="黑体" w:asciiTheme="minorEastAsia" w:hAnsiTheme="minorEastAsia" w:eastAsiaTheme="minorEastAsia"/>
          <w:bCs/>
          <w:sz w:val="21"/>
          <w:szCs w:val="21"/>
        </w:rPr>
        <w:t>附件</w:t>
      </w:r>
      <w:r>
        <w:rPr>
          <w:rFonts w:hint="eastAsia" w:cs="黑体" w:asciiTheme="minorEastAsia" w:hAnsiTheme="minorEastAsia" w:eastAsiaTheme="minorEastAsia"/>
          <w:bCs/>
          <w:sz w:val="21"/>
          <w:szCs w:val="21"/>
          <w:lang w:val="en-US" w:eastAsia="zh-CN"/>
        </w:rPr>
        <w:t>1</w:t>
      </w:r>
      <w:r>
        <w:rPr>
          <w:rFonts w:hint="eastAsia" w:cs="黑体" w:asciiTheme="minorEastAsia" w:hAnsiTheme="minorEastAsia" w:eastAsiaTheme="minorEastAsia"/>
          <w:bCs/>
          <w:sz w:val="21"/>
          <w:szCs w:val="21"/>
        </w:rPr>
        <w:t>：廉洁协议</w:t>
      </w:r>
      <w:bookmarkEnd w:id="20"/>
      <w:bookmarkEnd w:id="22"/>
    </w:p>
    <w:p>
      <w:pPr>
        <w:keepNext w:val="0"/>
        <w:keepLines w:val="0"/>
        <w:pageBreakBefore w:val="0"/>
        <w:widowControl w:val="0"/>
        <w:kinsoku/>
        <w:wordWrap/>
        <w:overflowPunct/>
        <w:topLinePunct w:val="0"/>
        <w:autoSpaceDE/>
        <w:autoSpaceDN/>
        <w:bidi w:val="0"/>
        <w:adjustRightInd/>
        <w:snapToGrid/>
        <w:spacing w:line="336" w:lineRule="auto"/>
        <w:jc w:val="center"/>
        <w:textAlignment w:val="auto"/>
        <w:rPr>
          <w:b/>
          <w:bCs/>
        </w:rPr>
      </w:pPr>
      <w:bookmarkStart w:id="23" w:name="_Toc45177213"/>
      <w:r>
        <w:rPr>
          <w:rFonts w:hint="eastAsia"/>
          <w:b/>
          <w:bCs/>
        </w:rPr>
        <w:t>廉洁协议</w:t>
      </w:r>
      <w:bookmarkEnd w:id="23"/>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pPr>
      <w:r>
        <w:t>为了贯彻中央八项规定精神，加强党风廉洁建设，进一步规范合同各方人员的行为，预防和遏制合同履行过程中腐败和不廉洁行为的发生，保证本合同依法履行，经合同各方共同协商，特订立以下廉洁协议。</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pPr>
      <w:r>
        <w:t>第一条 合同各方必须恪守“诚信、公正、科学”的原则，按照合同条款，把保质保量和严格执行合同条款为各自最终的权利和义务。严禁损害国家和各方的合法利益。合同各方必须经常教育各自的业务人员严格遵守国家的法律、法规和政策，遵守党的纪律和各项廉洁规定，遵守社会公德和职业道德，防止一切违法违纪行为的发生。</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pPr>
      <w:r>
        <w:t>第二条 乙方人员不得在业务活动中以任何形式向甲方有关人员赠送现金、礼品、有价证券和支付凭证等；不得报销甲方人员应自理的各种费用；不得邀请甲方有关人员宴请、旅游或去营业性娱乐场所消费等；不得将合同项目转包给甲方有关部门人员或相关利益人；不得谋取其他不正当利益。乙方如违反本协议,则按违约行为涉事金额处以10倍廉洁违约金，廉洁违约金在合同结算款中扣除，结算款不足或结算后发现的,甲方有权追偿，情节严重者,终止业务关系,直至追究刑事责任。</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pPr>
      <w:r>
        <w:t>第三条 甲方有关人员不得在业务活动中向乙方收受或索要现金、礼品、有价证券和支付凭证等；不得向乙方报销应本人承担的费用；不得接受乙方的宴请、旅游或到营业性娱乐场所消费等；不许将外包项目返包；不得故意刁难对方,甚至徇私枉法,阻挠正常的业务交往或者谋取其他不正当利益；如有发生，一经查实,将视情节轻重,给予批评教育、经济考核,党纪政纪处分、直至追究刑事责任。</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pPr>
      <w:r>
        <w:t>第四条 合同各方如发现一方有上述一、二、三条款之情节者,应予以拒绝。并向</w:t>
      </w:r>
      <w:r>
        <w:rPr>
          <w:rFonts w:hint="eastAsia"/>
          <w:lang w:eastAsia="zh-CN"/>
        </w:rPr>
        <w:t>嘉兴杭州湾石油化工物流有限公司</w:t>
      </w:r>
      <w:r>
        <w:t xml:space="preserve">举报。举报电话: </w:t>
      </w:r>
      <w:r>
        <w:rPr>
          <w:rFonts w:hint="eastAsia"/>
        </w:rPr>
        <w:t>0573-85625915。</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pPr>
      <w:r>
        <w:t>第五条 本协议作为合同的附件,与主合同具有同等的法律效力。</w:t>
      </w:r>
    </w:p>
    <w:p>
      <w:pPr>
        <w:keepNext w:val="0"/>
        <w:keepLines w:val="0"/>
        <w:pageBreakBefore w:val="0"/>
        <w:widowControl w:val="0"/>
        <w:kinsoku/>
        <w:wordWrap/>
        <w:overflowPunct/>
        <w:topLinePunct w:val="0"/>
        <w:autoSpaceDE/>
        <w:autoSpaceDN/>
        <w:bidi w:val="0"/>
        <w:adjustRightInd/>
        <w:snapToGrid/>
        <w:spacing w:line="336" w:lineRule="auto"/>
        <w:ind w:firstLine="409" w:firstLineChars="195"/>
        <w:textAlignment w:val="auto"/>
        <w:rPr>
          <w:rFonts w:hint="eastAsia" w:ascii="宋体" w:hAnsi="宋体" w:cs="仿宋_GB2312"/>
          <w:szCs w:val="21"/>
        </w:rPr>
      </w:pPr>
      <w:r>
        <w:t>第六条</w:t>
      </w:r>
      <w:r>
        <w:rPr>
          <w:rFonts w:hint="eastAsia"/>
        </w:rPr>
        <w:t>本协议一式肆份，甲乙双方各执贰份，经双方盖章后生效；</w:t>
      </w:r>
      <w:r>
        <w:rPr>
          <w:rFonts w:hint="eastAsia" w:ascii="宋体" w:hAnsi="宋体" w:cs="仿宋_GB2312"/>
          <w:szCs w:val="21"/>
        </w:rPr>
        <w:t>有效期至双方合同终止时结束。</w:t>
      </w:r>
    </w:p>
    <w:tbl>
      <w:tblPr>
        <w:tblStyle w:val="21"/>
        <w:tblpPr w:leftFromText="180" w:rightFromText="180" w:vertAnchor="text" w:horzAnchor="page" w:tblpX="1762" w:tblpY="110"/>
        <w:tblOverlap w:val="never"/>
        <w:tblW w:w="9070" w:type="dxa"/>
        <w:tblInd w:w="0" w:type="dxa"/>
        <w:tblLayout w:type="fixed"/>
        <w:tblCellMar>
          <w:top w:w="0" w:type="dxa"/>
          <w:left w:w="108" w:type="dxa"/>
          <w:bottom w:w="0" w:type="dxa"/>
          <w:right w:w="108" w:type="dxa"/>
        </w:tblCellMar>
      </w:tblPr>
      <w:tblGrid>
        <w:gridCol w:w="4535"/>
        <w:gridCol w:w="4535"/>
      </w:tblGrid>
      <w:tr>
        <w:tblPrEx>
          <w:tblCellMar>
            <w:top w:w="0" w:type="dxa"/>
            <w:left w:w="108" w:type="dxa"/>
            <w:bottom w:w="0" w:type="dxa"/>
            <w:right w:w="108" w:type="dxa"/>
          </w:tblCellMar>
        </w:tblPrEx>
        <w:trPr>
          <w:trHeight w:val="567" w:hRule="exact"/>
        </w:trPr>
        <w:tc>
          <w:tcPr>
            <w:tcW w:w="4535" w:type="dxa"/>
          </w:tcPr>
          <w:p>
            <w:pPr>
              <w:ind w:firstLine="420" w:firstLineChars="200"/>
            </w:pPr>
            <w:r>
              <w:t>甲方（盖章）</w:t>
            </w:r>
            <w:r>
              <w:rPr>
                <w:rFonts w:hint="eastAsia"/>
              </w:rPr>
              <w:t>：</w:t>
            </w:r>
            <w:r>
              <w:t xml:space="preserve">  </w:t>
            </w:r>
          </w:p>
        </w:tc>
        <w:tc>
          <w:tcPr>
            <w:tcW w:w="4535" w:type="dxa"/>
          </w:tcPr>
          <w:p>
            <w:pPr>
              <w:ind w:firstLine="315" w:firstLineChars="150"/>
            </w:pPr>
            <w:r>
              <w:t>乙方（盖章）</w:t>
            </w:r>
            <w:r>
              <w:rPr>
                <w:rFonts w:hint="eastAsia"/>
              </w:rPr>
              <w:t>：</w:t>
            </w:r>
            <w:r>
              <w:t xml:space="preserve">  </w:t>
            </w:r>
          </w:p>
        </w:tc>
      </w:tr>
      <w:tr>
        <w:tblPrEx>
          <w:tblCellMar>
            <w:top w:w="0" w:type="dxa"/>
            <w:left w:w="108" w:type="dxa"/>
            <w:bottom w:w="0" w:type="dxa"/>
            <w:right w:w="108" w:type="dxa"/>
          </w:tblCellMar>
        </w:tblPrEx>
        <w:trPr>
          <w:trHeight w:val="567" w:hRule="exact"/>
        </w:trPr>
        <w:tc>
          <w:tcPr>
            <w:tcW w:w="4535" w:type="dxa"/>
          </w:tcPr>
          <w:p>
            <w:r>
              <w:t xml:space="preserve">          年     月    日</w:t>
            </w:r>
          </w:p>
        </w:tc>
        <w:tc>
          <w:tcPr>
            <w:tcW w:w="4535" w:type="dxa"/>
          </w:tcPr>
          <w:p>
            <w:r>
              <w:t xml:space="preserve">        年     月    日</w:t>
            </w:r>
          </w:p>
        </w:tc>
      </w:tr>
    </w:tbl>
    <w:p>
      <w:pPr>
        <w:spacing w:after="0" w:afterLines="0" w:line="500" w:lineRule="exact"/>
        <w:jc w:val="both"/>
        <w:outlineLvl w:val="2"/>
        <w:rPr>
          <w:rFonts w:hint="eastAsia"/>
        </w:rPr>
      </w:pPr>
      <w:bookmarkStart w:id="24" w:name="_Toc8523"/>
      <w:r>
        <w:rPr>
          <w:rFonts w:hint="eastAsia"/>
          <w:b/>
          <w:bCs/>
          <w:szCs w:val="21"/>
        </w:rPr>
        <w:t>附</w:t>
      </w:r>
      <w:r>
        <w:rPr>
          <w:b/>
          <w:bCs/>
          <w:szCs w:val="21"/>
        </w:rPr>
        <w:t>件</w:t>
      </w:r>
      <w:r>
        <w:rPr>
          <w:rFonts w:hint="eastAsia"/>
          <w:b/>
          <w:bCs/>
          <w:szCs w:val="21"/>
          <w:lang w:val="en-US" w:eastAsia="zh-CN"/>
        </w:rPr>
        <w:t>2</w:t>
      </w:r>
      <w:r>
        <w:rPr>
          <w:rFonts w:hint="eastAsia"/>
          <w:b/>
          <w:bCs/>
          <w:szCs w:val="21"/>
          <w:lang w:eastAsia="zh-CN"/>
        </w:rPr>
        <w:t>：</w:t>
      </w:r>
      <w:r>
        <w:rPr>
          <w:rFonts w:hint="eastAsia" w:ascii="宋体" w:hAnsi="宋体"/>
          <w:b/>
          <w:bCs/>
          <w:szCs w:val="21"/>
        </w:rPr>
        <w:t>安全生产管理协议</w:t>
      </w:r>
      <w:bookmarkEnd w:id="24"/>
    </w:p>
    <w:p>
      <w:pPr>
        <w:spacing w:after="0" w:afterLines="0" w:line="500" w:lineRule="exact"/>
        <w:ind w:firstLine="3373" w:firstLineChars="1400"/>
        <w:jc w:val="both"/>
        <w:rPr>
          <w:rFonts w:ascii="黑体" w:hAnsi="黑体" w:eastAsia="黑体"/>
          <w:sz w:val="36"/>
          <w:szCs w:val="36"/>
        </w:rPr>
      </w:pPr>
      <w:r>
        <w:rPr>
          <w:rFonts w:hint="eastAsia" w:ascii="宋体" w:hAnsi="宋体"/>
          <w:b/>
          <w:sz w:val="24"/>
        </w:rPr>
        <w:t>安全生产管理协议</w:t>
      </w:r>
    </w:p>
    <w:p>
      <w:pPr>
        <w:pStyle w:val="30"/>
        <w:adjustRightInd w:val="0"/>
        <w:ind w:firstLine="0" w:firstLineChars="0"/>
        <w:rPr>
          <w:rFonts w:hint="eastAsia" w:ascii="宋体" w:hAnsi="宋体" w:eastAsia="宋体"/>
          <w:szCs w:val="21"/>
          <w:lang w:eastAsia="zh-CN"/>
        </w:rPr>
      </w:pPr>
      <w:r>
        <w:rPr>
          <w:rFonts w:hint="eastAsia" w:ascii="宋体" w:hAnsi="宋体" w:cs="仿宋_GB2312"/>
          <w:b/>
          <w:szCs w:val="21"/>
        </w:rPr>
        <w:t>甲方：</w:t>
      </w:r>
      <w:r>
        <w:rPr>
          <w:rFonts w:hint="eastAsia" w:ascii="宋体" w:hAnsi="宋体" w:cs="仿宋_GB2312"/>
          <w:szCs w:val="21"/>
          <w:u w:val="single"/>
          <w:lang w:eastAsia="zh-CN"/>
        </w:rPr>
        <w:t>嘉兴杭州湾石油化工物流有限公司</w:t>
      </w:r>
    </w:p>
    <w:p>
      <w:pPr>
        <w:pStyle w:val="30"/>
        <w:adjustRightInd w:val="0"/>
        <w:ind w:firstLine="0" w:firstLineChars="0"/>
        <w:rPr>
          <w:rFonts w:hint="eastAsia" w:ascii="宋体" w:hAnsi="宋体"/>
          <w:szCs w:val="21"/>
        </w:rPr>
      </w:pPr>
      <w:r>
        <w:rPr>
          <w:rFonts w:hint="eastAsia" w:ascii="宋体" w:hAnsi="宋体"/>
          <w:b/>
          <w:bCs/>
          <w:szCs w:val="21"/>
        </w:rPr>
        <w:t>乙方：</w:t>
      </w:r>
    </w:p>
    <w:p>
      <w:pPr>
        <w:spacing w:line="360" w:lineRule="auto"/>
        <w:ind w:firstLine="420" w:firstLineChars="200"/>
      </w:pPr>
      <w:r>
        <w:rPr>
          <w:rFonts w:hint="eastAsia"/>
        </w:rPr>
        <w:t>为落实安全生产管理主体责任，明确双方的安全生产管理职责，根据《安全生产法》第四十五条、《港口危险货物安全管理规定》第四十七条以及其他相关法律、法规、规章的规定，本着公平、公正、平等、互助的合作精神，经双方协商一致，就乙方在甲方管辖区域内从事相关业务活动所涉及的安全生产管理工作签订以下协议。</w:t>
      </w:r>
    </w:p>
    <w:p>
      <w:pPr>
        <w:spacing w:line="360" w:lineRule="auto"/>
        <w:ind w:firstLine="422" w:firstLineChars="200"/>
        <w:rPr>
          <w:b/>
        </w:rPr>
      </w:pPr>
      <w:r>
        <w:rPr>
          <w:rFonts w:hint="eastAsia"/>
          <w:b/>
        </w:rPr>
        <w:t>1、甲方的安全管理责任：</w:t>
      </w:r>
    </w:p>
    <w:p>
      <w:pPr>
        <w:spacing w:line="360" w:lineRule="auto"/>
        <w:ind w:firstLine="420" w:firstLineChars="200"/>
      </w:pPr>
      <w:r>
        <w:rPr>
          <w:rFonts w:hint="eastAsia"/>
        </w:rPr>
        <w:t>1.1甲方的生产作业场所应符合法律法规要求，取得了相应的经营许可资质；管理人员和从业人员已经取得符合上岗要求的资格证书；有较为完善的安全生产规章制度和安全技术操作规程，以及生产安全事故应急预案。</w:t>
      </w:r>
    </w:p>
    <w:p>
      <w:pPr>
        <w:spacing w:line="360" w:lineRule="auto"/>
        <w:ind w:firstLine="420" w:firstLineChars="200"/>
      </w:pPr>
      <w:r>
        <w:rPr>
          <w:rFonts w:hint="eastAsia"/>
        </w:rPr>
        <w:t>1.2甲方提供的卸车作业、储罐等设施设备符合国家和行业标准规范的要求，并能及时维护保养，以确保所有的设施设备处于安全适用状态。</w:t>
      </w:r>
    </w:p>
    <w:p>
      <w:pPr>
        <w:spacing w:line="360" w:lineRule="auto"/>
        <w:ind w:firstLine="420" w:firstLineChars="200"/>
      </w:pPr>
      <w:r>
        <w:rPr>
          <w:rFonts w:hint="eastAsia"/>
        </w:rPr>
        <w:t>1.3</w:t>
      </w:r>
      <w:r>
        <w:t>建立健全</w:t>
      </w:r>
      <w:r>
        <w:rPr>
          <w:rFonts w:hint="eastAsia"/>
        </w:rPr>
        <w:t>公司</w:t>
      </w:r>
      <w:r>
        <w:t>安全生产责任制；设置安全管理机构，按规定配备专职安全管理人员；应将</w:t>
      </w:r>
      <w:r>
        <w:rPr>
          <w:rFonts w:hint="eastAsia"/>
        </w:rPr>
        <w:t>公司</w:t>
      </w:r>
      <w:r>
        <w:t>作业场所和工作岗位存在的危险有害因素、安全防范措施以及事故应急措施告知员工</w:t>
      </w:r>
      <w:r>
        <w:rPr>
          <w:rFonts w:hint="eastAsia"/>
        </w:rPr>
        <w:t>。</w:t>
      </w:r>
    </w:p>
    <w:p>
      <w:pPr>
        <w:spacing w:line="360" w:lineRule="auto"/>
        <w:ind w:firstLine="420" w:firstLineChars="200"/>
      </w:pPr>
      <w:r>
        <w:rPr>
          <w:rFonts w:hint="eastAsia"/>
        </w:rPr>
        <w:t>1.4对</w:t>
      </w:r>
      <w:r>
        <w:t>公司的安全生产作业活动进</w:t>
      </w:r>
      <w:r>
        <w:rPr>
          <w:rFonts w:hint="eastAsia"/>
        </w:rPr>
        <w:t>行</w:t>
      </w:r>
      <w:r>
        <w:t>经常性的检查，消除安全事故隐患；对公司员工进行安全教育和岗位技能培训，以及提供符合标准要求的劳动防护用品</w:t>
      </w:r>
      <w:r>
        <w:rPr>
          <w:rFonts w:hint="eastAsia"/>
        </w:rPr>
        <w:t>。</w:t>
      </w:r>
    </w:p>
    <w:p>
      <w:pPr>
        <w:spacing w:line="360" w:lineRule="auto"/>
        <w:ind w:firstLine="420" w:firstLineChars="200"/>
      </w:pPr>
      <w:r>
        <w:rPr>
          <w:rFonts w:hint="eastAsia"/>
        </w:rPr>
        <w:t>1.5负责所属生产作业区域内的安全生产工作管理，并定期召开安全生产工作会议，视情邀请并听取乙方对安全生产工作的建议，对存在的安全问题进行研究，提出对策。</w:t>
      </w:r>
    </w:p>
    <w:p>
      <w:pPr>
        <w:spacing w:line="360" w:lineRule="auto"/>
        <w:ind w:firstLine="420" w:firstLineChars="200"/>
        <w:rPr>
          <w:highlight w:val="none"/>
        </w:rPr>
      </w:pPr>
      <w:r>
        <w:rPr>
          <w:rFonts w:hint="eastAsia"/>
          <w:highlight w:val="none"/>
        </w:rPr>
        <w:t>1.6对进入公司生产作业区域内的乙方人员，甲方</w:t>
      </w:r>
      <w:r>
        <w:rPr>
          <w:highlight w:val="none"/>
        </w:rPr>
        <w:t>将公司安全生产</w:t>
      </w:r>
      <w:r>
        <w:rPr>
          <w:rFonts w:hint="eastAsia"/>
          <w:highlight w:val="none"/>
        </w:rPr>
        <w:t>规章</w:t>
      </w:r>
      <w:r>
        <w:rPr>
          <w:highlight w:val="none"/>
        </w:rPr>
        <w:t>制度要求和生产作业</w:t>
      </w:r>
      <w:r>
        <w:rPr>
          <w:rFonts w:hint="eastAsia"/>
          <w:highlight w:val="none"/>
        </w:rPr>
        <w:t>场所</w:t>
      </w:r>
      <w:r>
        <w:rPr>
          <w:highlight w:val="none"/>
        </w:rPr>
        <w:t>存在的危险有害因素、安全防范措施以及事故应急措施告知</w:t>
      </w:r>
      <w:r>
        <w:rPr>
          <w:rFonts w:hint="eastAsia"/>
          <w:highlight w:val="none"/>
        </w:rPr>
        <w:t>乙方人员。</w:t>
      </w:r>
      <w:r>
        <w:rPr>
          <w:rFonts w:hint="eastAsia"/>
          <w:szCs w:val="22"/>
          <w:highlight w:val="none"/>
        </w:rPr>
        <w:t>若乙方拒不配合完成相关安全管理工作或在作业阶段产生安全隐患拒不整改等情况，影响甲方安全生产工作</w:t>
      </w:r>
      <w:r>
        <w:rPr>
          <w:rFonts w:hint="eastAsia" w:ascii="宋体" w:hAnsi="宋体" w:cs="宋体"/>
          <w:szCs w:val="21"/>
          <w:highlight w:val="none"/>
        </w:rPr>
        <w:t>，甲方可根据甲方公司内安全规章制度对乙方进行经济考核。</w:t>
      </w:r>
    </w:p>
    <w:p>
      <w:pPr>
        <w:spacing w:line="360" w:lineRule="auto"/>
        <w:ind w:firstLine="420" w:firstLineChars="200"/>
        <w:rPr>
          <w:highlight w:val="none"/>
        </w:rPr>
      </w:pPr>
      <w:r>
        <w:rPr>
          <w:rFonts w:hint="eastAsia"/>
          <w:highlight w:val="none"/>
        </w:rPr>
        <w:t>1.7在生产作业活动期间，负责作业区域内的设施设备的巡检，防止跑、冒、滴、漏现象的发生，确保整体生产作业活动的安全有序完成。</w:t>
      </w:r>
    </w:p>
    <w:p>
      <w:pPr>
        <w:spacing w:line="360" w:lineRule="auto"/>
        <w:ind w:firstLine="422" w:firstLineChars="200"/>
        <w:rPr>
          <w:b/>
        </w:rPr>
      </w:pPr>
      <w:bookmarkStart w:id="25" w:name="_Toc249946724"/>
      <w:bookmarkStart w:id="26" w:name="_Toc235846477"/>
      <w:bookmarkStart w:id="27" w:name="_Toc241637706"/>
      <w:bookmarkStart w:id="28" w:name="_Toc26966998"/>
      <w:bookmarkStart w:id="29" w:name="_Toc284168731"/>
      <w:bookmarkStart w:id="30" w:name="_Toc241741660"/>
      <w:bookmarkStart w:id="31" w:name="_Toc274728418"/>
      <w:bookmarkStart w:id="32" w:name="_Toc284143576"/>
      <w:bookmarkStart w:id="33" w:name="_Toc242943573"/>
      <w:bookmarkStart w:id="34" w:name="_Toc241744960"/>
      <w:r>
        <w:rPr>
          <w:rFonts w:hint="eastAsia"/>
          <w:b/>
        </w:rPr>
        <w:t>2、乙方的安全管理责任：</w:t>
      </w:r>
    </w:p>
    <w:p>
      <w:pPr>
        <w:spacing w:line="360" w:lineRule="auto"/>
        <w:ind w:firstLine="420" w:firstLineChars="200"/>
      </w:pPr>
      <w:r>
        <w:rPr>
          <w:rFonts w:hint="eastAsia"/>
        </w:rPr>
        <w:t>2.1乙方的生产作业场所应符合法律法规要求，取得了相应的经营许可资质；并向甲方提供营业执照和经营资质的复印件，加盖公章。</w:t>
      </w:r>
    </w:p>
    <w:p>
      <w:pPr>
        <w:spacing w:line="360" w:lineRule="auto"/>
        <w:ind w:firstLine="420" w:firstLineChars="200"/>
      </w:pPr>
      <w:r>
        <w:rPr>
          <w:rFonts w:hint="eastAsia"/>
        </w:rPr>
        <w:t>2.2</w:t>
      </w:r>
      <w:r>
        <w:t>建立健全</w:t>
      </w:r>
      <w:r>
        <w:rPr>
          <w:rFonts w:hint="eastAsia"/>
        </w:rPr>
        <w:t>公司</w:t>
      </w:r>
      <w:r>
        <w:t>安全生产责任制；设置专职或兼职安全管理机构，配备专职或兼职安全管理人员；对公司员工进行安全教育和岗位技能培训，以及提供符合标准要求的劳动防护用品</w:t>
      </w:r>
      <w:r>
        <w:rPr>
          <w:rFonts w:hint="eastAsia"/>
        </w:rPr>
        <w:t>。</w:t>
      </w:r>
    </w:p>
    <w:p>
      <w:pPr>
        <w:spacing w:line="360" w:lineRule="auto"/>
        <w:ind w:firstLine="420" w:firstLineChars="200"/>
      </w:pPr>
      <w:r>
        <w:rPr>
          <w:rFonts w:hint="eastAsia"/>
        </w:rPr>
        <w:t>2.3乙方工作人员在甲方管辖区域内发现有事故隐患或者其他不安全因素时有义务立即向甲方现场安全生产管理人员报告，对甲方在安全生产作业活动过程中出现的问题有权提出口头或书面建议。</w:t>
      </w:r>
    </w:p>
    <w:p>
      <w:pPr>
        <w:spacing w:line="360" w:lineRule="auto"/>
        <w:ind w:firstLine="420" w:firstLineChars="200"/>
      </w:pPr>
      <w:r>
        <w:rPr>
          <w:rFonts w:hint="eastAsia"/>
        </w:rPr>
        <w:t>2.4进入甲方生产作业区域的乙方</w:t>
      </w:r>
      <w:r>
        <w:t>运输车辆必须证照齐全</w:t>
      </w:r>
      <w:r>
        <w:rPr>
          <w:rFonts w:hint="eastAsia"/>
        </w:rPr>
        <w:t>，车辆进入甲方门岗前要检查车况，对照明、转向、制动等各类安全装置进行确认，在门岗处遵守门岗安保人员管理并自觉登记。</w:t>
      </w:r>
    </w:p>
    <w:p>
      <w:pPr>
        <w:spacing w:line="360" w:lineRule="auto"/>
        <w:ind w:firstLine="420" w:firstLineChars="200"/>
      </w:pPr>
      <w:r>
        <w:rPr>
          <w:rFonts w:hint="eastAsia"/>
        </w:rPr>
        <w:t>2.5车辆进入门岗后自觉遵守道路交通标志、标线，并应在规定的车道线内按规定的行车方向、速度行驶，注意避让行人，按规定的位置停车；车辆出入大门、检查口时速度应不大于</w:t>
      </w:r>
      <w:r>
        <w:t>5km/h</w:t>
      </w:r>
      <w:r>
        <w:rPr>
          <w:rFonts w:hint="eastAsia"/>
        </w:rPr>
        <w:t>；车辆行驶过程中不得掉头、不得超越前方车辆。</w:t>
      </w:r>
    </w:p>
    <w:p>
      <w:pPr>
        <w:spacing w:line="360" w:lineRule="auto"/>
        <w:ind w:firstLine="420" w:firstLineChars="200"/>
      </w:pPr>
      <w:r>
        <w:rPr>
          <w:rFonts w:hint="eastAsia"/>
        </w:rPr>
        <w:t>2.6乙方人员进入甲方生产作业区域内严禁擅自动用设备、设施，包括消防栓等应急器材（紧急情况除外，如救人）。</w:t>
      </w:r>
    </w:p>
    <w:p>
      <w:pPr>
        <w:spacing w:line="360" w:lineRule="auto"/>
        <w:ind w:firstLine="420" w:firstLineChars="200"/>
      </w:pPr>
      <w:r>
        <w:rPr>
          <w:rFonts w:hint="eastAsia"/>
        </w:rPr>
        <w:t>2.7乙方人员在甲方生产作业区域内不得大声喧哗、寻恤滋事、打架斗殴，所有纠纷可通过双方的安全管理联络人协调解决，否则均视为违约。</w:t>
      </w:r>
    </w:p>
    <w:p>
      <w:pPr>
        <w:spacing w:line="360" w:lineRule="auto"/>
        <w:ind w:firstLine="420" w:firstLineChars="200"/>
      </w:pPr>
      <w:r>
        <w:rPr>
          <w:rFonts w:hint="eastAsia"/>
        </w:rPr>
        <w:t>2.8乙方人员在甲方所属辖区内的自身安全由乙方人员自行负责，与甲方无关；若涉及违法违规的事情，甲方有制止和举报的权利。</w:t>
      </w:r>
    </w:p>
    <w:p>
      <w:pPr>
        <w:spacing w:line="360" w:lineRule="auto"/>
        <w:ind w:firstLine="420" w:firstLineChars="200"/>
      </w:pPr>
      <w:r>
        <w:rPr>
          <w:rFonts w:hint="eastAsia"/>
        </w:rPr>
        <w:t>2.9乙方人员进入甲方生产作业区域应自觉戴安全帽和着防静电工作服，严禁赤膊、赤脚和穿短裤（含七分裤）、拖鞋、高跟鞋；甲方生产作业区域内禁止明火，严禁携带火种、严禁吸烟。</w:t>
      </w:r>
    </w:p>
    <w:p>
      <w:pPr>
        <w:spacing w:line="360" w:lineRule="auto"/>
        <w:ind w:firstLine="420" w:firstLineChars="200"/>
        <w:rPr>
          <w:highlight w:val="none"/>
        </w:rPr>
      </w:pPr>
      <w:r>
        <w:rPr>
          <w:rFonts w:hint="eastAsia"/>
        </w:rPr>
        <w:t>2.10甲方码头、装卸台和储罐区域为防爆区域，乙方工作人员非防爆的手机、照相机、</w:t>
      </w:r>
      <w:r>
        <w:rPr>
          <w:rFonts w:hint="eastAsia"/>
          <w:highlight w:val="none"/>
        </w:rPr>
        <w:t>摄像机等非防爆工器具禁止带入上述区域，车辆必须戴防火罩。</w:t>
      </w:r>
    </w:p>
    <w:p>
      <w:pPr>
        <w:spacing w:line="360" w:lineRule="auto"/>
        <w:ind w:firstLine="420" w:firstLineChars="200"/>
        <w:rPr>
          <w:highlight w:val="none"/>
        </w:rPr>
      </w:pPr>
      <w:r>
        <w:rPr>
          <w:rFonts w:hint="eastAsia"/>
          <w:highlight w:val="none"/>
        </w:rPr>
        <w:t>2.11乙方人员或车辆进入甲方生产作业区域应遵守甲方的《安全生产规章制度》</w:t>
      </w:r>
      <w:r>
        <w:rPr>
          <w:rFonts w:hint="eastAsia" w:ascii="宋体" w:hAnsi="宋体" w:cs="宋体"/>
          <w:kern w:val="0"/>
          <w:szCs w:val="21"/>
          <w:highlight w:val="none"/>
        </w:rPr>
        <w:t>《新冠疫情防控管理规定》等相关管理制度</w:t>
      </w:r>
      <w:r>
        <w:rPr>
          <w:rFonts w:hint="eastAsia"/>
          <w:highlight w:val="none"/>
        </w:rPr>
        <w:t>，</w:t>
      </w:r>
      <w:r>
        <w:rPr>
          <w:rFonts w:hint="eastAsia" w:ascii="宋体" w:hAnsi="宋体" w:cs="宋体"/>
          <w:kern w:val="0"/>
          <w:szCs w:val="21"/>
          <w:highlight w:val="none"/>
        </w:rPr>
        <w:t>并到甲方</w:t>
      </w:r>
      <w:r>
        <w:rPr>
          <w:rFonts w:hint="eastAsia" w:ascii="宋体" w:hAnsi="宋体" w:cs="宋体"/>
          <w:kern w:val="0"/>
          <w:szCs w:val="21"/>
          <w:highlight w:val="none"/>
          <w:lang w:val="en-US" w:eastAsia="zh-CN"/>
        </w:rPr>
        <w:t>安全卫环部</w:t>
      </w:r>
      <w:r>
        <w:rPr>
          <w:rFonts w:hint="eastAsia" w:ascii="宋体" w:hAnsi="宋体" w:cs="宋体"/>
          <w:kern w:val="0"/>
          <w:szCs w:val="21"/>
          <w:highlight w:val="none"/>
        </w:rPr>
        <w:t>接受安全教育培训和办理临时出入证。</w:t>
      </w:r>
      <w:r>
        <w:rPr>
          <w:rFonts w:hint="eastAsia"/>
          <w:highlight w:val="none"/>
        </w:rPr>
        <w:t>服从甲方生产作业人员和安全管理人员的现场安全管理。</w:t>
      </w:r>
    </w:p>
    <w:p>
      <w:pPr>
        <w:spacing w:line="360" w:lineRule="auto"/>
        <w:ind w:firstLine="420" w:firstLineChars="200"/>
        <w:rPr>
          <w:rFonts w:hint="eastAsia"/>
          <w:highlight w:val="none"/>
        </w:rPr>
      </w:pPr>
      <w:r>
        <w:rPr>
          <w:rFonts w:hint="eastAsia"/>
          <w:highlight w:val="none"/>
        </w:rPr>
        <w:t>2.12非因甲方原因，乙方人员或车辆在甲方生产作业区域内遭受的人身、财产损失均由乙方自行负责。</w:t>
      </w:r>
    </w:p>
    <w:p>
      <w:pPr>
        <w:spacing w:line="360" w:lineRule="auto"/>
        <w:ind w:firstLine="420" w:firstLineChars="200"/>
        <w:contextualSpacing/>
        <w:rPr>
          <w:rFonts w:ascii="宋体" w:hAnsi="宋体" w:cs="宋体"/>
          <w:kern w:val="0"/>
          <w:szCs w:val="21"/>
          <w:highlight w:val="none"/>
        </w:rPr>
      </w:pPr>
      <w:r>
        <w:rPr>
          <w:rFonts w:hint="eastAsia" w:ascii="宋体" w:hAnsi="宋体" w:cs="宋体"/>
          <w:kern w:val="0"/>
          <w:szCs w:val="21"/>
          <w:highlight w:val="none"/>
        </w:rPr>
        <w:t>2.1</w:t>
      </w:r>
      <w:r>
        <w:rPr>
          <w:rFonts w:hint="eastAsia" w:ascii="宋体" w:hAnsi="宋体" w:cs="宋体"/>
          <w:kern w:val="0"/>
          <w:szCs w:val="21"/>
          <w:highlight w:val="none"/>
          <w:lang w:val="en-US" w:eastAsia="zh-CN"/>
        </w:rPr>
        <w:t>3</w:t>
      </w:r>
      <w:r>
        <w:rPr>
          <w:rFonts w:hint="eastAsia" w:ascii="宋体" w:hAnsi="宋体" w:cs="宋体"/>
          <w:kern w:val="0"/>
          <w:szCs w:val="21"/>
          <w:highlight w:val="none"/>
        </w:rPr>
        <w:t>乙方人员在作业活动过程中因未遵守甲方的安全相关管理制度而导致事故发生的，由乙方全面负责；因此造成甲方损失的，应由乙方负责赔偿。</w:t>
      </w:r>
    </w:p>
    <w:p>
      <w:pPr>
        <w:bidi w:val="0"/>
        <w:ind w:firstLine="420" w:firstLineChars="200"/>
        <w:rPr>
          <w:highlight w:val="none"/>
        </w:rPr>
      </w:pPr>
      <w:r>
        <w:rPr>
          <w:rFonts w:hint="eastAsia"/>
          <w:highlight w:val="none"/>
        </w:rPr>
        <w:t>2.1</w:t>
      </w:r>
      <w:r>
        <w:rPr>
          <w:rFonts w:hint="eastAsia"/>
          <w:highlight w:val="none"/>
          <w:lang w:val="en-US" w:eastAsia="zh-CN"/>
        </w:rPr>
        <w:t>4</w:t>
      </w:r>
      <w:r>
        <w:rPr>
          <w:rFonts w:hint="eastAsia"/>
          <w:highlight w:val="none"/>
        </w:rPr>
        <w:t>乙方人员在维保作业活动时若涉及到特殊作业的，应严格按照甲方相关特殊作业管理制度要求执行，严格把控特殊作业的审批、准备、实施、结尾等各环节，切实做到“审批、人员、监护、措施”四到位，对于无审批作业、无安全措施作业、无证作业、无监护作业等严重违规行为实行严格处理，并接受甲方全程监管和排查。</w:t>
      </w:r>
    </w:p>
    <w:p>
      <w:pPr>
        <w:spacing w:line="360" w:lineRule="auto"/>
        <w:ind w:firstLine="420" w:firstLineChars="200"/>
        <w:rPr>
          <w:highlight w:val="none"/>
        </w:rPr>
      </w:pPr>
      <w:r>
        <w:rPr>
          <w:rFonts w:hint="eastAsia"/>
          <w:highlight w:val="none"/>
        </w:rPr>
        <w:t>2.13</w:t>
      </w:r>
      <w:r>
        <w:rPr>
          <w:rFonts w:hint="eastAsia"/>
          <w:b/>
          <w:bCs/>
          <w:highlight w:val="none"/>
        </w:rPr>
        <w:t>在新冠肺炎疫情防控期间，乙方人员应严格执行以下规定：</w:t>
      </w:r>
    </w:p>
    <w:bookmarkEnd w:id="25"/>
    <w:bookmarkEnd w:id="26"/>
    <w:bookmarkEnd w:id="27"/>
    <w:bookmarkEnd w:id="28"/>
    <w:bookmarkEnd w:id="29"/>
    <w:bookmarkEnd w:id="30"/>
    <w:bookmarkEnd w:id="31"/>
    <w:bookmarkEnd w:id="32"/>
    <w:bookmarkEnd w:id="33"/>
    <w:bookmarkEnd w:id="34"/>
    <w:p>
      <w:pPr>
        <w:shd w:val="clear" w:color="auto" w:fill="FFFFFF"/>
        <w:spacing w:line="440" w:lineRule="exact"/>
        <w:ind w:firstLine="480"/>
        <w:contextualSpacing/>
        <w:rPr>
          <w:rFonts w:ascii="宋体" w:hAnsi="宋体" w:eastAsia="宋体" w:cs="宋体"/>
          <w:kern w:val="0"/>
          <w:szCs w:val="21"/>
          <w:highlight w:val="none"/>
        </w:rPr>
      </w:pPr>
      <w:r>
        <w:rPr>
          <w:rFonts w:ascii="宋体" w:hAnsi="宋体" w:eastAsia="宋体" w:cs="宋体"/>
          <w:kern w:val="0"/>
          <w:szCs w:val="21"/>
          <w:highlight w:val="none"/>
        </w:rPr>
        <w:t>①进入甲方所属辖区，应配合门卫核查“健康码、14天的行程码”，出现黄码或红码的，谢绝入内，甲方应立即通知属地防疫办；</w:t>
      </w:r>
    </w:p>
    <w:p>
      <w:pPr>
        <w:shd w:val="clear" w:color="auto" w:fill="FFFFFF"/>
        <w:spacing w:line="440" w:lineRule="exact"/>
        <w:ind w:firstLine="480"/>
        <w:contextualSpacing/>
        <w:rPr>
          <w:rFonts w:ascii="宋体" w:hAnsi="宋体" w:eastAsia="宋体" w:cs="宋体"/>
          <w:kern w:val="0"/>
          <w:szCs w:val="21"/>
          <w:highlight w:val="none"/>
        </w:rPr>
      </w:pPr>
      <w:r>
        <w:rPr>
          <w:rFonts w:ascii="宋体" w:hAnsi="宋体" w:eastAsia="宋体" w:cs="宋体"/>
          <w:kern w:val="0"/>
          <w:szCs w:val="21"/>
          <w:highlight w:val="none"/>
        </w:rPr>
        <w:t>②应佩戴口罩等个人防护用品，并做好体温检测和信息登记；</w:t>
      </w:r>
    </w:p>
    <w:p>
      <w:pPr>
        <w:shd w:val="clear" w:color="auto" w:fill="FFFFFF"/>
        <w:spacing w:line="440" w:lineRule="exact"/>
        <w:ind w:firstLine="480"/>
        <w:contextualSpacing/>
        <w:rPr>
          <w:rFonts w:hint="default" w:ascii="宋体" w:hAnsi="宋体" w:eastAsia="宋体" w:cs="宋体"/>
          <w:kern w:val="0"/>
          <w:szCs w:val="21"/>
          <w:highlight w:val="none"/>
        </w:rPr>
      </w:pPr>
      <w:r>
        <w:rPr>
          <w:rFonts w:ascii="宋体" w:hAnsi="宋体" w:eastAsia="宋体" w:cs="宋体"/>
          <w:kern w:val="0"/>
          <w:szCs w:val="21"/>
          <w:highlight w:val="none"/>
        </w:rPr>
        <w:t>③体温超过37.3℃的人员拒绝进入甲方所属管辖区域</w:t>
      </w:r>
      <w:r>
        <w:rPr>
          <w:rFonts w:ascii="宋体" w:hAnsi="宋体" w:cs="宋体"/>
          <w:kern w:val="0"/>
          <w:szCs w:val="21"/>
          <w:highlight w:val="none"/>
        </w:rPr>
        <w:t>；</w:t>
      </w:r>
    </w:p>
    <w:p>
      <w:pPr>
        <w:shd w:val="clear" w:color="auto" w:fill="FFFFFF"/>
        <w:spacing w:line="440" w:lineRule="exact"/>
        <w:ind w:firstLine="480"/>
        <w:contextualSpacing/>
        <w:rPr>
          <w:rFonts w:ascii="宋体" w:hAnsi="宋体" w:eastAsia="宋体" w:cs="宋体"/>
          <w:kern w:val="0"/>
          <w:szCs w:val="21"/>
          <w:highlight w:val="none"/>
        </w:rPr>
      </w:pPr>
      <w:r>
        <w:rPr>
          <w:rFonts w:ascii="宋体" w:hAnsi="宋体" w:eastAsia="宋体" w:cs="宋体"/>
          <w:kern w:val="0"/>
          <w:szCs w:val="21"/>
          <w:highlight w:val="none"/>
        </w:rPr>
        <w:t>④未接种新冠疫苗的人员不得进入甲方管辖区域进行作业；</w:t>
      </w:r>
    </w:p>
    <w:p>
      <w:pPr>
        <w:shd w:val="clear" w:color="auto" w:fill="FFFFFF"/>
        <w:spacing w:line="440" w:lineRule="exact"/>
        <w:ind w:firstLine="480"/>
        <w:contextualSpacing/>
        <w:rPr>
          <w:rFonts w:hint="default" w:eastAsia="宋体" w:cs="宋体"/>
          <w:highlight w:val="none"/>
        </w:rPr>
      </w:pPr>
      <w:r>
        <w:rPr>
          <w:rFonts w:ascii="宋体" w:hAnsi="宋体" w:eastAsia="宋体" w:cs="宋体"/>
          <w:kern w:val="0"/>
          <w:szCs w:val="21"/>
          <w:highlight w:val="none"/>
        </w:rPr>
        <w:t>⑤首次进场前，乙方需向甲方提交拟进场人员名单、疫苗接种记录、近14天的行程</w:t>
      </w:r>
      <w:r>
        <w:rPr>
          <w:rFonts w:hint="eastAsia" w:ascii="宋体" w:hAnsi="宋体" w:eastAsia="宋体" w:cs="宋体"/>
          <w:kern w:val="0"/>
          <w:szCs w:val="21"/>
          <w:highlight w:val="none"/>
        </w:rPr>
        <w:t>以及</w:t>
      </w:r>
      <w:r>
        <w:rPr>
          <w:rFonts w:ascii="宋体" w:hAnsi="宋体" w:eastAsia="宋体" w:cs="宋体"/>
          <w:kern w:val="0"/>
          <w:szCs w:val="21"/>
          <w:highlight w:val="none"/>
        </w:rPr>
        <w:t>3天内的核酸检测证明文件，若名单人员中有来自国内疫情中高风险地区的人员，甲方有权利拒绝其进场，乙方应主动更换为疫情低风险区</w:t>
      </w:r>
      <w:r>
        <w:rPr>
          <w:rFonts w:eastAsia="宋体" w:cs="宋体"/>
          <w:highlight w:val="none"/>
        </w:rPr>
        <w:t>域的人员</w:t>
      </w:r>
      <w:r>
        <w:rPr>
          <w:rFonts w:cs="宋体"/>
          <w:highlight w:val="none"/>
        </w:rPr>
        <w:t>；</w:t>
      </w:r>
    </w:p>
    <w:p>
      <w:pPr>
        <w:shd w:val="clear" w:color="auto" w:fill="FFFFFF"/>
        <w:spacing w:line="440" w:lineRule="exact"/>
        <w:ind w:firstLine="480"/>
        <w:contextualSpacing/>
        <w:rPr>
          <w:rFonts w:hint="default" w:eastAsia="宋体" w:cs="宋体"/>
          <w:highlight w:val="none"/>
        </w:rPr>
      </w:pPr>
      <w:r>
        <w:rPr>
          <w:rFonts w:hint="eastAsia" w:eastAsia="宋体" w:cs="宋体"/>
          <w:highlight w:val="none"/>
        </w:rPr>
        <w:t>⑥</w:t>
      </w:r>
      <w:r>
        <w:rPr>
          <w:rFonts w:eastAsia="宋体" w:cs="宋体"/>
          <w:highlight w:val="none"/>
        </w:rPr>
        <w:t>进场后，若乙方人员在甲方区域进行相关作业活动的</w:t>
      </w:r>
      <w:r>
        <w:rPr>
          <w:rFonts w:hint="eastAsia" w:eastAsia="宋体" w:cs="宋体"/>
          <w:highlight w:val="none"/>
        </w:rPr>
        <w:t>，</w:t>
      </w:r>
      <w:r>
        <w:rPr>
          <w:rFonts w:eastAsia="宋体" w:cs="宋体"/>
          <w:highlight w:val="none"/>
        </w:rPr>
        <w:t>应每</w:t>
      </w:r>
      <w:r>
        <w:rPr>
          <w:rFonts w:hint="eastAsia" w:eastAsia="宋体" w:cs="宋体"/>
          <w:highlight w:val="none"/>
        </w:rPr>
        <w:t>7天进行一次核酸检测。若</w:t>
      </w:r>
      <w:r>
        <w:rPr>
          <w:rFonts w:eastAsia="宋体" w:cs="宋体"/>
          <w:highlight w:val="none"/>
        </w:rPr>
        <w:t>国家、省疫情防控办、地方疫情防控部门及甲方上级主管部门因以疫情的发展变化提高了核酸检测频次的要求</w:t>
      </w:r>
      <w:r>
        <w:rPr>
          <w:rFonts w:hint="eastAsia" w:eastAsia="宋体" w:cs="宋体"/>
          <w:highlight w:val="none"/>
        </w:rPr>
        <w:t>，</w:t>
      </w:r>
      <w:r>
        <w:rPr>
          <w:rFonts w:eastAsia="宋体" w:cs="宋体"/>
          <w:highlight w:val="none"/>
        </w:rPr>
        <w:t>乙方应根据甲方的通知要求及时变化核酸检测频次</w:t>
      </w:r>
      <w:r>
        <w:rPr>
          <w:rFonts w:cs="宋体"/>
          <w:highlight w:val="none"/>
        </w:rPr>
        <w:t>；</w:t>
      </w:r>
    </w:p>
    <w:p>
      <w:pPr>
        <w:shd w:val="clear" w:color="auto" w:fill="FFFFFF"/>
        <w:spacing w:line="440" w:lineRule="exact"/>
        <w:ind w:firstLine="480"/>
        <w:contextualSpacing/>
        <w:rPr>
          <w:rFonts w:eastAsia="宋体" w:cs="宋体"/>
          <w:highlight w:val="none"/>
        </w:rPr>
      </w:pPr>
      <w:r>
        <w:rPr>
          <w:rFonts w:hint="eastAsia" w:eastAsia="宋体" w:cs="宋体"/>
          <w:highlight w:val="none"/>
        </w:rPr>
        <w:t>⑦</w:t>
      </w:r>
      <w:r>
        <w:rPr>
          <w:rFonts w:eastAsia="宋体" w:cs="宋体"/>
          <w:highlight w:val="none"/>
        </w:rPr>
        <w:t>乙方按照甲方通知的时间配合做好定期核酸检测和疫情防控工作，并且48小时内将核酸检测报告送至甲方安全部门备案，因疫情防控需要所产生的费用均由乙方自行承担。</w:t>
      </w:r>
    </w:p>
    <w:p>
      <w:pPr>
        <w:spacing w:line="360" w:lineRule="auto"/>
        <w:ind w:firstLine="422" w:firstLineChars="200"/>
        <w:rPr>
          <w:b/>
        </w:rPr>
      </w:pPr>
      <w:r>
        <w:rPr>
          <w:rFonts w:hint="eastAsia"/>
          <w:b/>
        </w:rPr>
        <w:t>3、考核管理要求：</w:t>
      </w:r>
    </w:p>
    <w:p>
      <w:pPr>
        <w:spacing w:line="360" w:lineRule="auto"/>
        <w:ind w:firstLine="420" w:firstLineChars="200"/>
      </w:pPr>
      <w:r>
        <w:rPr>
          <w:rFonts w:hint="eastAsia"/>
        </w:rPr>
        <w:t>3.1乙方人员或车辆若有违反上述规定或甲方《安全生产规章制度》的，视情节轻重甲方将安全考核乙方200-2000元人民币违约金；上述规定安全考核项未涉及的或甲方《安全生产规章制度》中未涉及的考核项，参考类似考核项从重考核。</w:t>
      </w:r>
    </w:p>
    <w:p>
      <w:pPr>
        <w:spacing w:line="360" w:lineRule="auto"/>
        <w:ind w:firstLine="420" w:firstLineChars="200"/>
      </w:pPr>
      <w:r>
        <w:rPr>
          <w:rFonts w:hint="eastAsia"/>
        </w:rPr>
        <w:t>3.2乙方人员在甲方生产作业区域内发现有事故隐患或者其他不安全因素能及时报告，并提出合理化改进建议，经确认属实的，视问题影响范围大小给予200-1000元人民币的奖励。</w:t>
      </w:r>
    </w:p>
    <w:p>
      <w:pPr>
        <w:spacing w:line="360" w:lineRule="auto"/>
        <w:ind w:firstLine="420" w:firstLineChars="200"/>
      </w:pPr>
      <w:r>
        <w:rPr>
          <w:rFonts w:hint="eastAsia"/>
        </w:rPr>
        <w:t>3.3乙方人员或车辆进入甲方所属管辖区域内因自身原因造成事故/事件时，责任由乙方人员全权负责，若给甲方造成设备设施的损坏，并应赔偿直接经济损失，同时接受甲方的安全考核；甲方将视造成事故/事件的严重程度和影响程度，安全考核乙方1000-10000元人民币违约金。</w:t>
      </w:r>
    </w:p>
    <w:p>
      <w:pPr>
        <w:spacing w:line="360" w:lineRule="auto"/>
        <w:ind w:firstLine="422" w:firstLineChars="200"/>
        <w:rPr>
          <w:b/>
        </w:rPr>
      </w:pPr>
      <w:r>
        <w:rPr>
          <w:rFonts w:hint="eastAsia"/>
          <w:b/>
        </w:rPr>
        <w:t>4、其他事宜：</w:t>
      </w:r>
    </w:p>
    <w:p>
      <w:pPr>
        <w:spacing w:line="360" w:lineRule="auto"/>
        <w:ind w:firstLine="420" w:firstLineChars="200"/>
      </w:pPr>
      <w:r>
        <w:rPr>
          <w:rFonts w:hint="eastAsia"/>
        </w:rPr>
        <w:t>4.1甲方指定安全管理人员：</w:t>
      </w:r>
      <w:r>
        <w:rPr>
          <w:rFonts w:hint="default"/>
          <w:u w:val="single"/>
        </w:rPr>
        <w:t xml:space="preserve">        </w:t>
      </w:r>
      <w:r>
        <w:rPr>
          <w:rFonts w:hint="eastAsia"/>
        </w:rPr>
        <w:t>（联系电话：</w:t>
      </w:r>
      <w:r>
        <w:rPr>
          <w:rFonts w:hint="default"/>
          <w:u w:val="single"/>
        </w:rPr>
        <w:t xml:space="preserve">        </w:t>
      </w:r>
      <w:r>
        <w:rPr>
          <w:rFonts w:hint="default"/>
        </w:rPr>
        <w:t xml:space="preserve">  </w:t>
      </w:r>
      <w:r>
        <w:rPr>
          <w:rFonts w:hint="eastAsia"/>
        </w:rPr>
        <w:t>，乙方指定安全管理人员：</w:t>
      </w:r>
      <w:r>
        <w:rPr>
          <w:rFonts w:hint="default"/>
          <w:u w:val="single"/>
        </w:rPr>
        <w:t xml:space="preserve">      </w:t>
      </w:r>
      <w:r>
        <w:t>(</w:t>
      </w:r>
      <w:r>
        <w:rPr>
          <w:rFonts w:hint="eastAsia"/>
        </w:rPr>
        <w:t>联系电话：</w:t>
      </w:r>
      <w:r>
        <w:rPr>
          <w:rFonts w:hint="default"/>
          <w:u w:val="single"/>
        </w:rPr>
        <w:t xml:space="preserve">       </w:t>
      </w:r>
      <w:r>
        <w:t>)</w:t>
      </w:r>
      <w:r>
        <w:rPr>
          <w:rFonts w:hint="eastAsia"/>
        </w:rPr>
        <w:t>作为甲乙双方安全管理责任人，协调并处理双方业务合作活动过程中可能出现的各类安全问题；若人员劳资关系发生变更，应书面告知对方。</w:t>
      </w:r>
    </w:p>
    <w:p>
      <w:pPr>
        <w:spacing w:line="360" w:lineRule="auto"/>
        <w:ind w:firstLine="420" w:firstLineChars="200"/>
      </w:pPr>
      <w:r>
        <w:rPr>
          <w:rFonts w:hint="eastAsia"/>
        </w:rPr>
        <w:t>4.2本协议一式肆份，甲乙双方各执贰份，经双方盖章后生效；有效期至合同期满为止。</w:t>
      </w:r>
    </w:p>
    <w:p>
      <w:pPr>
        <w:pStyle w:val="2"/>
        <w:ind w:firstLine="560"/>
      </w:pPr>
    </w:p>
    <w:tbl>
      <w:tblPr>
        <w:tblStyle w:val="21"/>
        <w:tblW w:w="9070" w:type="dxa"/>
        <w:jc w:val="center"/>
        <w:tblLayout w:type="fixed"/>
        <w:tblCellMar>
          <w:top w:w="0" w:type="dxa"/>
          <w:left w:w="108" w:type="dxa"/>
          <w:bottom w:w="0" w:type="dxa"/>
          <w:right w:w="108" w:type="dxa"/>
        </w:tblCellMar>
      </w:tblPr>
      <w:tblGrid>
        <w:gridCol w:w="4535"/>
        <w:gridCol w:w="4535"/>
      </w:tblGrid>
      <w:tr>
        <w:tblPrEx>
          <w:tblCellMar>
            <w:top w:w="0" w:type="dxa"/>
            <w:left w:w="108" w:type="dxa"/>
            <w:bottom w:w="0" w:type="dxa"/>
            <w:right w:w="108" w:type="dxa"/>
          </w:tblCellMar>
        </w:tblPrEx>
        <w:trPr>
          <w:trHeight w:val="567" w:hRule="atLeast"/>
          <w:jc w:val="center"/>
        </w:trPr>
        <w:tc>
          <w:tcPr>
            <w:tcW w:w="4535" w:type="dxa"/>
            <w:tcBorders>
              <w:top w:val="nil"/>
              <w:left w:val="nil"/>
              <w:bottom w:val="nil"/>
              <w:right w:val="nil"/>
            </w:tcBorders>
            <w:noWrap w:val="0"/>
            <w:vAlign w:val="top"/>
          </w:tcPr>
          <w:p>
            <w:pPr>
              <w:ind w:firstLine="420" w:firstLineChars="200"/>
            </w:pPr>
            <w:r>
              <w:t>甲方（盖章）</w:t>
            </w:r>
            <w:r>
              <w:rPr>
                <w:rFonts w:hint="eastAsia"/>
              </w:rPr>
              <w:t>：</w:t>
            </w:r>
          </w:p>
        </w:tc>
        <w:tc>
          <w:tcPr>
            <w:tcW w:w="4535" w:type="dxa"/>
            <w:tcBorders>
              <w:top w:val="nil"/>
              <w:left w:val="nil"/>
              <w:bottom w:val="nil"/>
              <w:right w:val="nil"/>
            </w:tcBorders>
            <w:noWrap w:val="0"/>
            <w:vAlign w:val="top"/>
          </w:tcPr>
          <w:p>
            <w:pPr>
              <w:ind w:firstLine="315" w:firstLineChars="150"/>
            </w:pPr>
            <w:r>
              <w:t>乙方（盖章）</w:t>
            </w:r>
            <w:r>
              <w:rPr>
                <w:rFonts w:hint="eastAsia"/>
              </w:rPr>
              <w:t>：</w:t>
            </w:r>
          </w:p>
        </w:tc>
      </w:tr>
      <w:tr>
        <w:tblPrEx>
          <w:tblCellMar>
            <w:top w:w="0" w:type="dxa"/>
            <w:left w:w="108" w:type="dxa"/>
            <w:bottom w:w="0" w:type="dxa"/>
            <w:right w:w="108" w:type="dxa"/>
          </w:tblCellMar>
        </w:tblPrEx>
        <w:trPr>
          <w:trHeight w:val="567" w:hRule="atLeast"/>
          <w:jc w:val="center"/>
        </w:trPr>
        <w:tc>
          <w:tcPr>
            <w:tcW w:w="4535" w:type="dxa"/>
            <w:tcBorders>
              <w:top w:val="nil"/>
              <w:left w:val="nil"/>
              <w:bottom w:val="nil"/>
              <w:right w:val="nil"/>
            </w:tcBorders>
            <w:noWrap w:val="0"/>
            <w:vAlign w:val="top"/>
          </w:tcPr>
          <w:p>
            <w:r>
              <w:t xml:space="preserve">          年     月    日</w:t>
            </w:r>
          </w:p>
        </w:tc>
        <w:tc>
          <w:tcPr>
            <w:tcW w:w="4535" w:type="dxa"/>
            <w:tcBorders>
              <w:top w:val="nil"/>
              <w:left w:val="nil"/>
              <w:bottom w:val="nil"/>
              <w:right w:val="nil"/>
            </w:tcBorders>
            <w:noWrap w:val="0"/>
            <w:vAlign w:val="top"/>
          </w:tcPr>
          <w:p>
            <w:r>
              <w:t xml:space="preserve">        年     月    日</w:t>
            </w:r>
          </w:p>
        </w:tc>
      </w:tr>
    </w:tbl>
    <w:p>
      <w:pPr>
        <w:pStyle w:val="2"/>
        <w:ind w:firstLine="560"/>
      </w:pPr>
    </w:p>
    <w:p>
      <w:pPr>
        <w:pStyle w:val="2"/>
        <w:ind w:firstLine="560"/>
      </w:pPr>
    </w:p>
    <w:p>
      <w:pPr>
        <w:pStyle w:val="2"/>
        <w:ind w:firstLine="0" w:firstLineChars="0"/>
      </w:pPr>
    </w:p>
    <w:p>
      <w:pPr>
        <w:pStyle w:val="2"/>
        <w:ind w:firstLine="0" w:firstLineChars="0"/>
      </w:pPr>
    </w:p>
    <w:p>
      <w:pPr>
        <w:pStyle w:val="2"/>
        <w:ind w:firstLine="0" w:firstLineChars="0"/>
      </w:pPr>
    </w:p>
    <w:p>
      <w:pPr>
        <w:pStyle w:val="2"/>
        <w:ind w:firstLine="0" w:firstLineChars="0"/>
      </w:pPr>
    </w:p>
    <w:p>
      <w:pPr>
        <w:pStyle w:val="2"/>
        <w:ind w:firstLine="0" w:firstLineChars="0"/>
      </w:pPr>
    </w:p>
    <w:p>
      <w:pPr>
        <w:pStyle w:val="2"/>
        <w:ind w:firstLine="0" w:firstLineChars="0"/>
      </w:pPr>
    </w:p>
    <w:p>
      <w:pPr>
        <w:pStyle w:val="2"/>
        <w:ind w:firstLine="0" w:firstLineChars="0"/>
      </w:pPr>
    </w:p>
    <w:p>
      <w:pPr>
        <w:pStyle w:val="2"/>
        <w:ind w:firstLine="0" w:firstLineChars="0"/>
      </w:pPr>
    </w:p>
    <w:p>
      <w:pPr>
        <w:pStyle w:val="2"/>
        <w:ind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spacing w:line="360" w:lineRule="auto"/>
        <w:outlineLvl w:val="2"/>
        <w:rPr>
          <w:rFonts w:ascii="方正小标宋简体" w:hAnsi="仿宋" w:eastAsia="方正小标宋简体"/>
          <w:sz w:val="32"/>
          <w:szCs w:val="32"/>
        </w:rPr>
      </w:pPr>
      <w:bookmarkStart w:id="35" w:name="_Toc1124"/>
      <w:r>
        <w:rPr>
          <w:rFonts w:hint="eastAsia" w:ascii="宋体" w:hAnsi="宋体" w:cs="宋体"/>
          <w:b/>
          <w:bCs/>
          <w:szCs w:val="21"/>
        </w:rPr>
        <w:t>附件</w:t>
      </w:r>
      <w:r>
        <w:rPr>
          <w:rFonts w:hint="eastAsia" w:ascii="宋体" w:hAnsi="宋体" w:cs="宋体"/>
          <w:b/>
          <w:bCs/>
          <w:szCs w:val="21"/>
          <w:lang w:val="en-US" w:eastAsia="zh-CN"/>
        </w:rPr>
        <w:t>3</w:t>
      </w:r>
      <w:r>
        <w:rPr>
          <w:rFonts w:hint="eastAsia" w:ascii="宋体" w:hAnsi="宋体" w:cs="宋体"/>
          <w:b/>
          <w:bCs/>
          <w:szCs w:val="21"/>
        </w:rPr>
        <w:t>：疫情防控期间第三方单位进港作业防疫管理协议</w:t>
      </w:r>
      <w:bookmarkEnd w:id="35"/>
    </w:p>
    <w:p>
      <w:pPr>
        <w:spacing w:line="360" w:lineRule="auto"/>
        <w:rPr>
          <w:rFonts w:hint="eastAsia" w:ascii="宋体" w:hAnsi="宋体" w:eastAsia="宋体" w:cs="宋体"/>
          <w:szCs w:val="21"/>
          <w:lang w:eastAsia="zh-CN"/>
        </w:rPr>
      </w:pPr>
      <w:r>
        <w:rPr>
          <w:rFonts w:hint="eastAsia" w:ascii="宋体" w:hAnsi="宋体" w:cs="宋体"/>
          <w:szCs w:val="21"/>
        </w:rPr>
        <w:t>甲方：</w:t>
      </w:r>
      <w:r>
        <w:rPr>
          <w:rFonts w:hint="eastAsia" w:ascii="宋体" w:hAnsi="宋体" w:cs="宋体"/>
          <w:szCs w:val="21"/>
          <w:lang w:eastAsia="zh-CN"/>
        </w:rPr>
        <w:t>嘉兴杭州湾石油化工物流有限公司</w:t>
      </w:r>
    </w:p>
    <w:p>
      <w:pPr>
        <w:spacing w:line="360" w:lineRule="auto"/>
        <w:rPr>
          <w:rFonts w:ascii="宋体" w:hAnsi="宋体" w:cs="宋体"/>
          <w:szCs w:val="21"/>
        </w:rPr>
      </w:pPr>
      <w:r>
        <w:rPr>
          <w:rFonts w:hint="eastAsia" w:ascii="宋体" w:hAnsi="宋体" w:cs="宋体"/>
          <w:szCs w:val="21"/>
        </w:rPr>
        <w:t>乙方：</w:t>
      </w:r>
    </w:p>
    <w:p>
      <w:pPr>
        <w:spacing w:line="360" w:lineRule="auto"/>
        <w:ind w:firstLine="640"/>
        <w:rPr>
          <w:rFonts w:ascii="宋体" w:hAnsi="宋体" w:cs="宋体"/>
          <w:szCs w:val="21"/>
        </w:rPr>
      </w:pPr>
      <w:r>
        <w:rPr>
          <w:rFonts w:hint="eastAsia" w:ascii="宋体" w:hAnsi="宋体" w:cs="宋体"/>
          <w:szCs w:val="21"/>
        </w:rPr>
        <w:t>为严控港口输入性疫情防控风险，进一步加强港外单位进港作业防疫管控，保障双方职工生命健康和港口生产作业安全有序，经甲乙双方协商一致，明确双方疫情防控工作权利和义务，特制定本协议。</w:t>
      </w:r>
    </w:p>
    <w:p>
      <w:pPr>
        <w:spacing w:line="360" w:lineRule="auto"/>
        <w:ind w:firstLine="640"/>
        <w:rPr>
          <w:rFonts w:ascii="宋体" w:hAnsi="宋体" w:cs="宋体"/>
          <w:szCs w:val="21"/>
        </w:rPr>
      </w:pPr>
      <w:r>
        <w:rPr>
          <w:rFonts w:hint="eastAsia" w:ascii="宋体" w:hAnsi="宋体" w:cs="宋体"/>
          <w:szCs w:val="21"/>
        </w:rPr>
        <w:t>一、甲方权利和义务</w:t>
      </w:r>
    </w:p>
    <w:p>
      <w:pPr>
        <w:spacing w:line="360" w:lineRule="auto"/>
        <w:ind w:firstLine="640"/>
        <w:rPr>
          <w:rFonts w:ascii="宋体" w:hAnsi="宋体" w:cs="宋体"/>
          <w:szCs w:val="21"/>
        </w:rPr>
      </w:pPr>
      <w:r>
        <w:rPr>
          <w:rFonts w:hint="eastAsia" w:ascii="宋体" w:hAnsi="宋体" w:cs="宋体"/>
          <w:szCs w:val="21"/>
        </w:rPr>
        <w:t>1.甲方对乙方人员在港区内从事活动承担监督责任，做到依法、依规、文明、规范管理。</w:t>
      </w:r>
    </w:p>
    <w:p>
      <w:pPr>
        <w:spacing w:line="360" w:lineRule="auto"/>
        <w:ind w:firstLine="640"/>
        <w:rPr>
          <w:rFonts w:ascii="宋体" w:hAnsi="宋体" w:cs="宋体"/>
          <w:szCs w:val="21"/>
        </w:rPr>
      </w:pPr>
      <w:r>
        <w:rPr>
          <w:rFonts w:hint="eastAsia" w:ascii="宋体" w:hAnsi="宋体" w:cs="宋体"/>
          <w:szCs w:val="21"/>
        </w:rPr>
        <w:t>2.甲方应为乙方人员在港活动提供必要的防疫设施设备，如医疗废弃物垃圾桶、临时隔离点等。</w:t>
      </w:r>
    </w:p>
    <w:p>
      <w:pPr>
        <w:spacing w:line="360" w:lineRule="auto"/>
        <w:ind w:firstLine="640"/>
        <w:rPr>
          <w:rFonts w:ascii="宋体" w:hAnsi="宋体" w:cs="宋体"/>
          <w:szCs w:val="21"/>
        </w:rPr>
      </w:pPr>
      <w:r>
        <w:rPr>
          <w:rFonts w:hint="eastAsia" w:ascii="宋体" w:hAnsi="宋体" w:cs="宋体"/>
          <w:szCs w:val="21"/>
        </w:rPr>
        <w:t>3.甲方应切实履行疫情防控风险告知义务，明确告知港区疫情防控相关规定和须遵守的要求。</w:t>
      </w:r>
    </w:p>
    <w:p>
      <w:pPr>
        <w:spacing w:line="360" w:lineRule="auto"/>
        <w:ind w:firstLine="640"/>
        <w:rPr>
          <w:rFonts w:ascii="宋体" w:hAnsi="宋体" w:cs="宋体"/>
          <w:szCs w:val="21"/>
        </w:rPr>
      </w:pPr>
      <w:r>
        <w:rPr>
          <w:rFonts w:hint="eastAsia" w:ascii="宋体" w:hAnsi="宋体" w:cs="宋体"/>
          <w:szCs w:val="21"/>
        </w:rPr>
        <w:t>4.甲方人员与乙方在港人员非必要不接触，确需接触的，双方均应做好个人防护措施。</w:t>
      </w:r>
    </w:p>
    <w:p>
      <w:pPr>
        <w:spacing w:line="360" w:lineRule="auto"/>
        <w:ind w:firstLine="640"/>
        <w:rPr>
          <w:rFonts w:ascii="宋体" w:hAnsi="宋体" w:cs="宋体"/>
          <w:szCs w:val="21"/>
        </w:rPr>
      </w:pPr>
      <w:r>
        <w:rPr>
          <w:rFonts w:hint="eastAsia" w:ascii="宋体" w:hAnsi="宋体" w:cs="宋体"/>
          <w:szCs w:val="21"/>
        </w:rPr>
        <w:t>5.甲方有权对乙方进港人员、车辆进行登记、核对，检查健康码、行程码、核酸检测证明、体温、身份信息、接触史等信息。一旦发现异常，应立即暂停人员接触，报相关政府部门处理。</w:t>
      </w:r>
    </w:p>
    <w:p>
      <w:pPr>
        <w:spacing w:line="360" w:lineRule="auto"/>
        <w:ind w:firstLine="640"/>
        <w:rPr>
          <w:rFonts w:ascii="宋体" w:hAnsi="宋体" w:cs="宋体"/>
          <w:szCs w:val="21"/>
        </w:rPr>
      </w:pPr>
      <w:r>
        <w:rPr>
          <w:rFonts w:hint="eastAsia" w:ascii="宋体" w:hAnsi="宋体" w:cs="宋体"/>
          <w:szCs w:val="21"/>
        </w:rPr>
        <w:t>6.甲方有权要求乙方进港人员，根据作业实际情况，加强个人防护措施。</w:t>
      </w:r>
    </w:p>
    <w:p>
      <w:pPr>
        <w:spacing w:line="360" w:lineRule="auto"/>
        <w:ind w:firstLine="640"/>
        <w:rPr>
          <w:rFonts w:ascii="宋体" w:hAnsi="宋体" w:cs="宋体"/>
          <w:szCs w:val="21"/>
        </w:rPr>
      </w:pPr>
      <w:r>
        <w:rPr>
          <w:rFonts w:hint="eastAsia" w:ascii="宋体" w:hAnsi="宋体" w:cs="宋体"/>
          <w:szCs w:val="21"/>
        </w:rPr>
        <w:t>7.甲方有权管控乙方进港人员在港区作业区域及船舶上的活动范围。</w:t>
      </w:r>
    </w:p>
    <w:p>
      <w:pPr>
        <w:spacing w:line="360" w:lineRule="auto"/>
        <w:ind w:firstLine="640"/>
        <w:rPr>
          <w:rFonts w:ascii="宋体" w:hAnsi="宋体" w:cs="宋体"/>
          <w:szCs w:val="21"/>
        </w:rPr>
      </w:pPr>
      <w:r>
        <w:rPr>
          <w:rFonts w:hint="eastAsia" w:ascii="宋体" w:hAnsi="宋体" w:cs="宋体"/>
          <w:szCs w:val="21"/>
        </w:rPr>
        <w:t>8.港区发生涉疫事件时，甲方有权要求乙方在港人员落实应急处置措施，配合做好人员管控。</w:t>
      </w:r>
    </w:p>
    <w:p>
      <w:pPr>
        <w:spacing w:line="360" w:lineRule="auto"/>
        <w:ind w:firstLine="640"/>
        <w:rPr>
          <w:rFonts w:ascii="宋体" w:hAnsi="宋体" w:cs="宋体"/>
          <w:szCs w:val="21"/>
        </w:rPr>
      </w:pPr>
      <w:r>
        <w:rPr>
          <w:rFonts w:hint="eastAsia" w:ascii="宋体" w:hAnsi="宋体" w:cs="宋体"/>
          <w:szCs w:val="21"/>
        </w:rPr>
        <w:t>9.乙方进港人员在港区内存在防疫违规行为的，一经发现，甲方有权按照港区相关规定予以处理。</w:t>
      </w:r>
    </w:p>
    <w:p>
      <w:pPr>
        <w:spacing w:line="360" w:lineRule="auto"/>
        <w:ind w:firstLine="640"/>
        <w:rPr>
          <w:rFonts w:ascii="宋体" w:hAnsi="宋体" w:cs="宋体"/>
          <w:szCs w:val="21"/>
        </w:rPr>
      </w:pPr>
      <w:r>
        <w:rPr>
          <w:rFonts w:hint="eastAsia" w:ascii="宋体" w:hAnsi="宋体" w:cs="宋体"/>
          <w:szCs w:val="21"/>
        </w:rPr>
        <w:t>二、乙方权利和义务</w:t>
      </w:r>
    </w:p>
    <w:p>
      <w:pPr>
        <w:spacing w:line="360" w:lineRule="auto"/>
        <w:ind w:firstLine="640"/>
        <w:rPr>
          <w:rFonts w:ascii="宋体" w:hAnsi="宋体" w:cs="宋体"/>
          <w:szCs w:val="21"/>
        </w:rPr>
      </w:pPr>
      <w:r>
        <w:rPr>
          <w:rFonts w:hint="eastAsia" w:ascii="宋体" w:hAnsi="宋体" w:cs="宋体"/>
          <w:szCs w:val="21"/>
        </w:rPr>
        <w:t>1.乙方应当依法办理企业登记，取得相应的经营资质，并向主管部门备案许可，方可在港区开展经营活动。</w:t>
      </w:r>
    </w:p>
    <w:p>
      <w:pPr>
        <w:spacing w:line="360" w:lineRule="auto"/>
        <w:ind w:firstLine="640"/>
        <w:rPr>
          <w:rFonts w:ascii="宋体" w:hAnsi="宋体" w:cs="宋体"/>
          <w:szCs w:val="21"/>
        </w:rPr>
      </w:pPr>
      <w:r>
        <w:rPr>
          <w:rFonts w:hint="eastAsia" w:ascii="宋体" w:hAnsi="宋体" w:cs="宋体"/>
          <w:szCs w:val="21"/>
        </w:rPr>
        <w:t>2.乙方应严格落实单位疫情防控主体责任，加强对进港工作人员的管控：</w:t>
      </w:r>
    </w:p>
    <w:p>
      <w:pPr>
        <w:spacing w:line="360" w:lineRule="auto"/>
        <w:ind w:firstLine="640"/>
        <w:rPr>
          <w:rFonts w:ascii="宋体" w:hAnsi="宋体" w:cs="宋体"/>
          <w:szCs w:val="21"/>
        </w:rPr>
      </w:pPr>
      <w:r>
        <w:rPr>
          <w:rFonts w:hint="eastAsia" w:ascii="宋体" w:hAnsi="宋体" w:cs="宋体"/>
          <w:szCs w:val="21"/>
        </w:rPr>
        <w:t>（1）明确防疫工作负责人和联络人，建立疫情防控沟通协调机制，建立、落实疫情防控工作制度、应急预案，并根据实际及时完善。</w:t>
      </w:r>
    </w:p>
    <w:p>
      <w:pPr>
        <w:spacing w:line="360" w:lineRule="auto"/>
        <w:ind w:firstLine="640"/>
        <w:rPr>
          <w:rFonts w:ascii="宋体" w:hAnsi="宋体" w:cs="宋体"/>
          <w:szCs w:val="21"/>
        </w:rPr>
      </w:pPr>
      <w:r>
        <w:rPr>
          <w:rFonts w:hint="eastAsia" w:ascii="宋体" w:hAnsi="宋体" w:cs="宋体"/>
          <w:szCs w:val="21"/>
        </w:rPr>
        <w:t>（2）强化对进港人员的疫情防控知识培训，将港区防疫要求告知每位进港工作人员，做好现场作业交底。</w:t>
      </w:r>
    </w:p>
    <w:p>
      <w:pPr>
        <w:spacing w:line="360" w:lineRule="auto"/>
        <w:ind w:firstLine="640"/>
        <w:rPr>
          <w:rFonts w:ascii="宋体" w:hAnsi="宋体" w:cs="宋体"/>
          <w:szCs w:val="21"/>
        </w:rPr>
      </w:pPr>
      <w:r>
        <w:rPr>
          <w:rFonts w:hint="eastAsia" w:ascii="宋体" w:hAnsi="宋体" w:cs="宋体"/>
          <w:szCs w:val="21"/>
        </w:rPr>
        <w:t>（3）根据作业岗位风险，为进港工作人员配备相应的个人防护用品，并监督其规范穿戴。</w:t>
      </w:r>
    </w:p>
    <w:p>
      <w:pPr>
        <w:spacing w:line="360" w:lineRule="auto"/>
        <w:ind w:firstLine="640"/>
        <w:rPr>
          <w:rFonts w:ascii="宋体" w:hAnsi="宋体" w:cs="宋体"/>
          <w:szCs w:val="21"/>
        </w:rPr>
      </w:pPr>
      <w:r>
        <w:rPr>
          <w:rFonts w:hint="eastAsia" w:ascii="宋体" w:hAnsi="宋体" w:cs="宋体"/>
          <w:szCs w:val="21"/>
        </w:rPr>
        <w:t>（4）组织本单位人员开展疫苗接种工作，不得将未完成全程疫苗接种人员安排到高风险岗位。</w:t>
      </w:r>
    </w:p>
    <w:p>
      <w:pPr>
        <w:spacing w:line="360" w:lineRule="auto"/>
        <w:ind w:firstLine="640"/>
        <w:rPr>
          <w:rFonts w:ascii="宋体" w:hAnsi="宋体" w:cs="宋体"/>
          <w:szCs w:val="21"/>
        </w:rPr>
      </w:pPr>
      <w:r>
        <w:rPr>
          <w:rFonts w:hint="eastAsia" w:ascii="宋体" w:hAnsi="宋体" w:cs="宋体"/>
          <w:szCs w:val="21"/>
        </w:rPr>
        <w:t>（5）加强本单位员工日常信息排摸工作，不得安排中高风险地区往返人员及存在接触史人员进入港区。</w:t>
      </w:r>
    </w:p>
    <w:p>
      <w:pPr>
        <w:spacing w:line="360" w:lineRule="auto"/>
        <w:ind w:firstLine="640"/>
        <w:rPr>
          <w:rFonts w:ascii="宋体" w:hAnsi="宋体" w:cs="宋体"/>
          <w:szCs w:val="21"/>
        </w:rPr>
      </w:pPr>
      <w:r>
        <w:rPr>
          <w:rFonts w:hint="eastAsia" w:ascii="宋体" w:hAnsi="宋体" w:cs="宋体"/>
          <w:szCs w:val="21"/>
        </w:rPr>
        <w:t>（6）严格落实本单位高风险岗位人员集中封闭管理措施，加强日常健康管理。</w:t>
      </w:r>
    </w:p>
    <w:p>
      <w:pPr>
        <w:spacing w:line="360" w:lineRule="auto"/>
        <w:ind w:firstLine="640"/>
        <w:rPr>
          <w:rFonts w:ascii="宋体" w:hAnsi="宋体" w:cs="宋体"/>
          <w:szCs w:val="21"/>
        </w:rPr>
      </w:pPr>
      <w:r>
        <w:rPr>
          <w:rFonts w:hint="eastAsia" w:ascii="宋体" w:hAnsi="宋体" w:cs="宋体"/>
          <w:szCs w:val="21"/>
        </w:rPr>
        <w:t>3.乙方进港开展相关业务前，如实申报相关业务类型、相关人员信息及疫情防控需要的相关材料。</w:t>
      </w:r>
    </w:p>
    <w:p>
      <w:pPr>
        <w:spacing w:line="360" w:lineRule="auto"/>
        <w:ind w:firstLine="640"/>
        <w:rPr>
          <w:rFonts w:ascii="宋体" w:hAnsi="宋体" w:cs="宋体"/>
          <w:szCs w:val="21"/>
        </w:rPr>
      </w:pPr>
      <w:r>
        <w:rPr>
          <w:rFonts w:hint="eastAsia" w:ascii="宋体" w:hAnsi="宋体" w:cs="宋体"/>
          <w:szCs w:val="21"/>
        </w:rPr>
        <w:t>4.乙方进港人员作业时，应严格遵守港区作业安排，服从现场管理人员管理，并严格控制作业的活动范围，禁止进入非工作范围区域。</w:t>
      </w:r>
    </w:p>
    <w:p>
      <w:pPr>
        <w:spacing w:line="360" w:lineRule="auto"/>
        <w:ind w:firstLine="640"/>
        <w:rPr>
          <w:rFonts w:ascii="宋体" w:hAnsi="宋体" w:cs="宋体"/>
          <w:szCs w:val="21"/>
        </w:rPr>
      </w:pPr>
      <w:r>
        <w:rPr>
          <w:rFonts w:hint="eastAsia" w:ascii="宋体" w:hAnsi="宋体" w:cs="宋体"/>
          <w:szCs w:val="21"/>
        </w:rPr>
        <w:t>5.乙方车辆进入港区，严格按照港区规定路线行驶，实行“非必要不下车”，严禁无关车辆进入疫情防控重点区域。</w:t>
      </w:r>
    </w:p>
    <w:p>
      <w:pPr>
        <w:spacing w:line="360" w:lineRule="auto"/>
        <w:ind w:firstLine="640"/>
        <w:rPr>
          <w:rFonts w:ascii="宋体" w:hAnsi="宋体" w:cs="宋体"/>
          <w:szCs w:val="21"/>
        </w:rPr>
      </w:pPr>
      <w:r>
        <w:rPr>
          <w:rFonts w:hint="eastAsia" w:ascii="宋体" w:hAnsi="宋体" w:cs="宋体"/>
          <w:szCs w:val="21"/>
        </w:rPr>
        <w:t>6.如涉及国际航行船舶登轮作业的，乙方应严格遵循“非必要不登轮”原则。如确需登轮作业的，应安排已完成全程新冠肺炎疫苗接种人员，落实以下措施：</w:t>
      </w:r>
    </w:p>
    <w:p>
      <w:pPr>
        <w:spacing w:line="360" w:lineRule="auto"/>
        <w:ind w:firstLine="640"/>
        <w:rPr>
          <w:rFonts w:ascii="宋体" w:hAnsi="宋体" w:cs="宋体"/>
          <w:szCs w:val="21"/>
        </w:rPr>
      </w:pPr>
      <w:r>
        <w:rPr>
          <w:rFonts w:hint="eastAsia" w:ascii="宋体" w:hAnsi="宋体" w:cs="宋体"/>
          <w:szCs w:val="21"/>
        </w:rPr>
        <w:t>（1）对登轮人员正确穿脱防护服进行专业培训，并应当按规定实施审批制度。</w:t>
      </w:r>
    </w:p>
    <w:p>
      <w:pPr>
        <w:spacing w:line="360" w:lineRule="auto"/>
        <w:ind w:firstLine="640"/>
        <w:rPr>
          <w:rFonts w:ascii="宋体" w:hAnsi="宋体" w:cs="宋体"/>
          <w:szCs w:val="21"/>
        </w:rPr>
      </w:pPr>
      <w:r>
        <w:rPr>
          <w:rFonts w:hint="eastAsia" w:ascii="宋体" w:hAnsi="宋体" w:cs="宋体"/>
          <w:szCs w:val="21"/>
        </w:rPr>
        <w:t>（2）登轮人员规范佩戴防护口罩、防护服、防护手套、护目镜或面屏等个人防护用品，并做好体温检测和信息登记。</w:t>
      </w:r>
    </w:p>
    <w:p>
      <w:pPr>
        <w:spacing w:line="360" w:lineRule="auto"/>
        <w:ind w:firstLine="640"/>
        <w:rPr>
          <w:rFonts w:ascii="宋体" w:hAnsi="宋体" w:cs="宋体"/>
          <w:szCs w:val="21"/>
        </w:rPr>
      </w:pPr>
      <w:r>
        <w:rPr>
          <w:rFonts w:hint="eastAsia" w:ascii="宋体" w:hAnsi="宋体" w:cs="宋体"/>
          <w:szCs w:val="21"/>
        </w:rPr>
        <w:t>（3）登轮人员禁止进入船员生活区域，避免与船员接触。确需接触的，应选择在室外空间，穿戴防护服等防护用品，保持5米以上安全距离。</w:t>
      </w:r>
    </w:p>
    <w:p>
      <w:pPr>
        <w:spacing w:line="360" w:lineRule="auto"/>
        <w:ind w:firstLine="640"/>
        <w:rPr>
          <w:rFonts w:ascii="宋体" w:hAnsi="宋体" w:cs="宋体"/>
          <w:szCs w:val="21"/>
        </w:rPr>
      </w:pPr>
      <w:r>
        <w:rPr>
          <w:rFonts w:hint="eastAsia" w:ascii="宋体" w:hAnsi="宋体" w:cs="宋体"/>
          <w:szCs w:val="21"/>
        </w:rPr>
        <w:t>（4）登轮人员禁止在船上用餐、如厕、休息，相关工作完成后，需尽快离船。</w:t>
      </w:r>
    </w:p>
    <w:p>
      <w:pPr>
        <w:spacing w:line="360" w:lineRule="auto"/>
        <w:ind w:firstLine="640"/>
        <w:rPr>
          <w:rFonts w:ascii="宋体" w:hAnsi="宋体" w:cs="宋体"/>
          <w:szCs w:val="21"/>
        </w:rPr>
      </w:pPr>
      <w:r>
        <w:rPr>
          <w:rFonts w:hint="eastAsia" w:ascii="宋体" w:hAnsi="宋体" w:cs="宋体"/>
          <w:szCs w:val="21"/>
        </w:rPr>
        <w:t>（4）登轮人员下船后，须按照港区规定采取消毒措施，一次性防护用品等废弃物品按照规定集中处理。</w:t>
      </w:r>
    </w:p>
    <w:p>
      <w:pPr>
        <w:spacing w:line="360" w:lineRule="auto"/>
        <w:ind w:firstLine="640"/>
        <w:rPr>
          <w:rFonts w:ascii="宋体" w:hAnsi="宋体" w:cs="宋体"/>
          <w:szCs w:val="21"/>
        </w:rPr>
      </w:pPr>
      <w:r>
        <w:rPr>
          <w:rFonts w:hint="eastAsia" w:ascii="宋体" w:hAnsi="宋体" w:cs="宋体"/>
          <w:szCs w:val="21"/>
        </w:rPr>
        <w:t>（5）船舶供应、船舶检维修等活动，应符合疫情防控要求，并经属地疫情防控办商相关单位准许。</w:t>
      </w:r>
    </w:p>
    <w:p>
      <w:pPr>
        <w:spacing w:line="360" w:lineRule="auto"/>
        <w:ind w:firstLine="640"/>
        <w:rPr>
          <w:rFonts w:ascii="宋体" w:hAnsi="宋体" w:cs="宋体"/>
          <w:szCs w:val="21"/>
        </w:rPr>
      </w:pPr>
      <w:r>
        <w:rPr>
          <w:rFonts w:hint="eastAsia" w:ascii="宋体" w:hAnsi="宋体" w:cs="宋体"/>
          <w:szCs w:val="21"/>
        </w:rPr>
        <w:t>（6）减少纸质单证签署和流转，实施单证电子化，尽量利用电话等方式沟通联系。</w:t>
      </w:r>
    </w:p>
    <w:p>
      <w:pPr>
        <w:spacing w:line="360" w:lineRule="auto"/>
        <w:ind w:firstLine="640"/>
        <w:rPr>
          <w:rFonts w:ascii="宋体" w:hAnsi="宋体" w:cs="宋体"/>
          <w:szCs w:val="21"/>
        </w:rPr>
      </w:pPr>
      <w:r>
        <w:rPr>
          <w:rFonts w:hint="eastAsia" w:ascii="宋体" w:hAnsi="宋体" w:cs="宋体"/>
          <w:szCs w:val="21"/>
        </w:rPr>
        <w:t>7.出现应急情况时，乙方应当积极配合港区做好应急处置工作，加强人员管控。</w:t>
      </w:r>
    </w:p>
    <w:p>
      <w:pPr>
        <w:spacing w:line="360" w:lineRule="auto"/>
        <w:ind w:firstLine="640"/>
        <w:rPr>
          <w:rFonts w:ascii="宋体" w:hAnsi="宋体" w:cs="宋体"/>
          <w:szCs w:val="21"/>
        </w:rPr>
      </w:pPr>
      <w:r>
        <w:rPr>
          <w:rFonts w:hint="eastAsia" w:ascii="宋体" w:hAnsi="宋体" w:cs="宋体"/>
          <w:szCs w:val="21"/>
        </w:rPr>
        <w:t>8.乙方有权对甲方管理人员管理不当及甲方工作人员防疫违规行为，向所在港区进行投诉、检举。</w:t>
      </w:r>
    </w:p>
    <w:p>
      <w:pPr>
        <w:spacing w:line="360" w:lineRule="auto"/>
        <w:ind w:firstLine="640"/>
        <w:rPr>
          <w:rFonts w:ascii="宋体" w:hAnsi="宋体" w:cs="宋体"/>
          <w:szCs w:val="21"/>
        </w:rPr>
      </w:pPr>
      <w:r>
        <w:rPr>
          <w:rFonts w:hint="eastAsia" w:ascii="宋体" w:hAnsi="宋体" w:cs="宋体"/>
          <w:szCs w:val="21"/>
        </w:rPr>
        <w:t>三、违约责任</w:t>
      </w:r>
    </w:p>
    <w:p>
      <w:pPr>
        <w:spacing w:line="360" w:lineRule="auto"/>
        <w:ind w:firstLine="640"/>
        <w:rPr>
          <w:rFonts w:ascii="宋体" w:hAnsi="宋体" w:cs="宋体"/>
          <w:szCs w:val="21"/>
        </w:rPr>
      </w:pPr>
      <w:r>
        <w:rPr>
          <w:rFonts w:hint="eastAsia" w:ascii="宋体" w:hAnsi="宋体" w:cs="宋体"/>
          <w:szCs w:val="21"/>
        </w:rPr>
        <w:t>1.如因乙方工作人员防疫违规行为，造成甲方经济损失的，由乙方全额承担。</w:t>
      </w:r>
    </w:p>
    <w:p>
      <w:pPr>
        <w:spacing w:line="360" w:lineRule="auto"/>
        <w:ind w:firstLine="640"/>
        <w:rPr>
          <w:rFonts w:ascii="宋体" w:hAnsi="宋体" w:cs="宋体"/>
          <w:szCs w:val="21"/>
        </w:rPr>
      </w:pPr>
      <w:r>
        <w:rPr>
          <w:rFonts w:hint="eastAsia" w:ascii="宋体" w:hAnsi="宋体" w:cs="宋体"/>
          <w:szCs w:val="21"/>
        </w:rPr>
        <w:t>2.由于乙方落实疫情防控措施不力导致人员感染的，将限制乙方人员、车辆进入港区，同时承担事件相关责任，并报移民边检、海关、海事等口岸管理部门。</w:t>
      </w:r>
    </w:p>
    <w:p>
      <w:pPr>
        <w:spacing w:line="360" w:lineRule="auto"/>
        <w:ind w:firstLine="640"/>
        <w:rPr>
          <w:rFonts w:ascii="宋体" w:hAnsi="宋体" w:cs="宋体"/>
          <w:szCs w:val="21"/>
        </w:rPr>
      </w:pPr>
      <w:r>
        <w:rPr>
          <w:rFonts w:hint="eastAsia" w:ascii="宋体" w:hAnsi="宋体" w:cs="宋体"/>
          <w:szCs w:val="21"/>
        </w:rPr>
        <w:t>四、附则</w:t>
      </w:r>
    </w:p>
    <w:p>
      <w:pPr>
        <w:spacing w:line="360" w:lineRule="auto"/>
        <w:ind w:firstLine="640"/>
        <w:rPr>
          <w:rFonts w:ascii="宋体" w:hAnsi="宋体" w:cs="宋体"/>
          <w:szCs w:val="21"/>
        </w:rPr>
      </w:pPr>
      <w:r>
        <w:rPr>
          <w:rFonts w:hint="eastAsia" w:ascii="宋体" w:hAnsi="宋体" w:cs="宋体"/>
          <w:szCs w:val="21"/>
        </w:rPr>
        <w:t>1.本协议未尽事宜，由双方协商解决。</w:t>
      </w:r>
    </w:p>
    <w:p>
      <w:pPr>
        <w:spacing w:line="360" w:lineRule="auto"/>
        <w:ind w:firstLine="640"/>
        <w:rPr>
          <w:rFonts w:ascii="宋体" w:hAnsi="宋体" w:cs="宋体"/>
          <w:szCs w:val="21"/>
        </w:rPr>
      </w:pPr>
      <w:r>
        <w:rPr>
          <w:rFonts w:hint="eastAsia" w:ascii="宋体" w:hAnsi="宋体" w:cs="宋体"/>
          <w:szCs w:val="21"/>
        </w:rPr>
        <w:t>2.本协议一式二份，由甲乙双方各执一份。本协议自签订之日起生效。</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r>
        <w:rPr>
          <w:rFonts w:hint="eastAsia" w:ascii="宋体" w:hAnsi="宋体" w:cs="宋体"/>
          <w:szCs w:val="21"/>
        </w:rPr>
        <w:t>甲方（盖章）                乙方（盖章）</w:t>
      </w:r>
    </w:p>
    <w:p>
      <w:pPr>
        <w:spacing w:line="360" w:lineRule="auto"/>
        <w:rPr>
          <w:rFonts w:ascii="宋体" w:hAnsi="宋体" w:cs="宋体"/>
          <w:szCs w:val="21"/>
        </w:rPr>
      </w:pPr>
    </w:p>
    <w:p>
      <w:pPr>
        <w:spacing w:line="360" w:lineRule="auto"/>
        <w:rPr>
          <w:rFonts w:ascii="宋体" w:hAnsi="宋体" w:cs="宋体"/>
          <w:szCs w:val="21"/>
        </w:rPr>
      </w:pPr>
      <w:r>
        <w:rPr>
          <w:rFonts w:hint="eastAsia" w:ascii="宋体" w:hAnsi="宋体" w:cs="宋体"/>
          <w:szCs w:val="21"/>
        </w:rPr>
        <w:t>甲方代表（签字）                  乙方代表（签字）</w:t>
      </w:r>
    </w:p>
    <w:p>
      <w:pPr>
        <w:spacing w:line="360" w:lineRule="auto"/>
        <w:rPr>
          <w:rFonts w:ascii="宋体" w:hAnsi="宋体" w:cs="宋体"/>
          <w:szCs w:val="21"/>
        </w:rPr>
      </w:pPr>
    </w:p>
    <w:p>
      <w:pPr>
        <w:spacing w:line="360" w:lineRule="auto"/>
        <w:rPr>
          <w:rFonts w:ascii="宋体" w:hAnsi="宋体" w:cs="宋体"/>
          <w:szCs w:val="21"/>
        </w:rPr>
      </w:pPr>
      <w:r>
        <w:rPr>
          <w:rFonts w:hint="eastAsia" w:ascii="宋体" w:hAnsi="宋体" w:cs="宋体"/>
          <w:szCs w:val="21"/>
        </w:rPr>
        <w:t>日期：                            日期:</w:t>
      </w:r>
    </w:p>
    <w:p/>
    <w:sectPr>
      <w:headerReference r:id="rId8" w:type="default"/>
      <w:footerReference r:id="rId9" w:type="default"/>
      <w:pgSz w:w="11906" w:h="16838"/>
      <w:pgMar w:top="1440" w:right="1800" w:bottom="1440" w:left="1800" w:header="708" w:footer="708" w:gutter="0"/>
      <w:pgNumType w:fmt="decimal"/>
      <w:cols w:space="708"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tabs>
        <w:tab w:val="center" w:pos="4153"/>
        <w:tab w:val="right" w:pos="8306"/>
      </w:tabs>
    </w:pPr>
    <w:r>
      <w:fldChar w:fldCharType="begin"/>
    </w:r>
    <w:r>
      <w:instrText xml:space="preserve">PAGE  </w:instrText>
    </w:r>
    <w:r>
      <w:fldChar w:fldCharType="separate"/>
    </w:r>
    <w:r>
      <w:t>22</w:t>
    </w:r>
    <w:r>
      <w:fldChar w:fldCharType="end"/>
    </w:r>
  </w:p>
  <w:p>
    <w:pPr>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default" w:eastAsia="宋体"/>
        <w:b/>
        <w:lang w:val="en-US" w:eastAsia="zh-CN"/>
      </w:rPr>
    </w:pPr>
    <w:r>
      <w:rPr>
        <w:rFonts w:hint="eastAsia"/>
        <w:b/>
        <w:lang w:eastAsia="zh-CN"/>
      </w:rPr>
      <w:t>嘉兴杭州湾石油化工物流有限公司</w:t>
    </w:r>
    <w:r>
      <w:rPr>
        <w:rFonts w:hint="eastAsia"/>
        <w:b/>
      </w:rPr>
      <w:t xml:space="preserve">                </w:t>
    </w:r>
    <w:r>
      <w:rPr>
        <w:rFonts w:hint="eastAsia"/>
        <w:b/>
        <w:lang w:val="en-US" w:eastAsia="zh-CN"/>
      </w:rPr>
      <w:t xml:space="preserve">                                     </w:t>
    </w:r>
    <w:r>
      <w:rPr>
        <w:rFonts w:hint="eastAsia"/>
        <w:b/>
      </w:rPr>
      <w:t xml:space="preserve">      </w:t>
    </w:r>
    <w:r>
      <w:rPr>
        <w:rFonts w:hint="eastAsia"/>
        <w:b/>
        <w:lang w:val="en-US" w:eastAsia="zh-CN"/>
      </w:rPr>
      <w:t>红外测温系统安装项目询价文件</w:t>
    </w: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u w:val="single"/>
      </w:rPr>
    </w:pPr>
    <w:r>
      <w:rPr>
        <w:rFonts w:hint="eastAsia"/>
        <w:u w:val="single"/>
      </w:rPr>
      <w:t>乍浦港二期工程岸边集装箱起重机和轮胎式集装箱龙门起重机                                  商务标书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default" w:eastAsia="宋体"/>
        <w:b/>
        <w:lang w:val="en-US" w:eastAsia="zh-CN"/>
      </w:rPr>
    </w:pPr>
    <w:r>
      <w:rPr>
        <w:rFonts w:hint="eastAsia"/>
        <w:b/>
        <w:sz w:val="20"/>
        <w:szCs w:val="20"/>
      </w:rPr>
      <w:t xml:space="preserve">       </w:t>
    </w:r>
    <w:r>
      <w:rPr>
        <w:rFonts w:hint="eastAsia"/>
        <w:b/>
        <w:lang w:eastAsia="zh-CN"/>
      </w:rPr>
      <w:t>嘉兴杭州湾石油化工物流有限公司</w:t>
    </w:r>
    <w:r>
      <w:rPr>
        <w:rFonts w:hint="eastAsia"/>
        <w:b/>
      </w:rPr>
      <w:t xml:space="preserve">                              </w:t>
    </w:r>
    <w:r>
      <w:rPr>
        <w:rFonts w:hint="eastAsia"/>
        <w:b/>
        <w:lang w:val="en-US" w:eastAsia="zh-CN"/>
      </w:rPr>
      <w:t xml:space="preserve">                       红外测温系统安装项目询价文件</w:t>
    </w:r>
  </w:p>
  <w:p>
    <w:pPr>
      <w:pStyle w:val="15"/>
      <w:rPr>
        <w:b/>
        <w:sz w:val="20"/>
        <w:szCs w:val="20"/>
      </w:rPr>
    </w:pPr>
    <w:r>
      <w:rPr>
        <w:rFonts w:hint="eastAsia"/>
        <w:b/>
        <w:sz w:val="20"/>
        <w:szCs w:val="20"/>
      </w:rPr>
      <w:t xml:space="preserve">                                                  </w:t>
    </w:r>
    <w:r>
      <w:rPr>
        <w:b/>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70DDFE"/>
    <w:multiLevelType w:val="singleLevel"/>
    <w:tmpl w:val="8F70DDFE"/>
    <w:lvl w:ilvl="0" w:tentative="0">
      <w:start w:val="1"/>
      <w:numFmt w:val="decimal"/>
      <w:suff w:val="nothing"/>
      <w:lvlText w:val="%1、"/>
      <w:lvlJc w:val="left"/>
    </w:lvl>
  </w:abstractNum>
  <w:abstractNum w:abstractNumId="1">
    <w:nsid w:val="34E012F5"/>
    <w:multiLevelType w:val="singleLevel"/>
    <w:tmpl w:val="34E012F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258"/>
    <w:rsid w:val="000E62AE"/>
    <w:rsid w:val="00115B28"/>
    <w:rsid w:val="0016776E"/>
    <w:rsid w:val="001C5BFD"/>
    <w:rsid w:val="001D0E9B"/>
    <w:rsid w:val="001D28F5"/>
    <w:rsid w:val="002029A4"/>
    <w:rsid w:val="002311DF"/>
    <w:rsid w:val="002402E9"/>
    <w:rsid w:val="002523E4"/>
    <w:rsid w:val="00255A1A"/>
    <w:rsid w:val="00320852"/>
    <w:rsid w:val="00323B43"/>
    <w:rsid w:val="003461FF"/>
    <w:rsid w:val="00361002"/>
    <w:rsid w:val="003A7DDE"/>
    <w:rsid w:val="003D18FD"/>
    <w:rsid w:val="003D37D8"/>
    <w:rsid w:val="003E755A"/>
    <w:rsid w:val="003E793C"/>
    <w:rsid w:val="00412246"/>
    <w:rsid w:val="00412EDC"/>
    <w:rsid w:val="004358AB"/>
    <w:rsid w:val="00494939"/>
    <w:rsid w:val="004F2340"/>
    <w:rsid w:val="00554EC6"/>
    <w:rsid w:val="005B7BF1"/>
    <w:rsid w:val="005E78B2"/>
    <w:rsid w:val="00630258"/>
    <w:rsid w:val="006737DD"/>
    <w:rsid w:val="00681AE0"/>
    <w:rsid w:val="006A251E"/>
    <w:rsid w:val="006C35B5"/>
    <w:rsid w:val="006E7F62"/>
    <w:rsid w:val="00720111"/>
    <w:rsid w:val="00722D37"/>
    <w:rsid w:val="00787DE3"/>
    <w:rsid w:val="00797862"/>
    <w:rsid w:val="007B0407"/>
    <w:rsid w:val="007B7D10"/>
    <w:rsid w:val="008840FF"/>
    <w:rsid w:val="00887652"/>
    <w:rsid w:val="00893D7D"/>
    <w:rsid w:val="00896509"/>
    <w:rsid w:val="008B7726"/>
    <w:rsid w:val="008D4652"/>
    <w:rsid w:val="00936990"/>
    <w:rsid w:val="009732C7"/>
    <w:rsid w:val="009B6578"/>
    <w:rsid w:val="009C2026"/>
    <w:rsid w:val="009D33AA"/>
    <w:rsid w:val="00A25188"/>
    <w:rsid w:val="00AA1C11"/>
    <w:rsid w:val="00AB5ABE"/>
    <w:rsid w:val="00AF7D3A"/>
    <w:rsid w:val="00B03BD3"/>
    <w:rsid w:val="00B13A29"/>
    <w:rsid w:val="00BD4203"/>
    <w:rsid w:val="00C540A7"/>
    <w:rsid w:val="00D0003C"/>
    <w:rsid w:val="00D01B3E"/>
    <w:rsid w:val="00D124A0"/>
    <w:rsid w:val="00D1444C"/>
    <w:rsid w:val="00DB1C88"/>
    <w:rsid w:val="00E125D0"/>
    <w:rsid w:val="00E160C0"/>
    <w:rsid w:val="00E53557"/>
    <w:rsid w:val="00F036D2"/>
    <w:rsid w:val="00F16D22"/>
    <w:rsid w:val="00F308C9"/>
    <w:rsid w:val="00F56B6B"/>
    <w:rsid w:val="00F95CB7"/>
    <w:rsid w:val="00FA6C37"/>
    <w:rsid w:val="01651238"/>
    <w:rsid w:val="017F2EE3"/>
    <w:rsid w:val="01DA292F"/>
    <w:rsid w:val="01E53A03"/>
    <w:rsid w:val="0232779F"/>
    <w:rsid w:val="02B36F79"/>
    <w:rsid w:val="034F3B2C"/>
    <w:rsid w:val="03D50243"/>
    <w:rsid w:val="04036773"/>
    <w:rsid w:val="041E0B01"/>
    <w:rsid w:val="046046C1"/>
    <w:rsid w:val="046B1B54"/>
    <w:rsid w:val="048F4F11"/>
    <w:rsid w:val="0564450E"/>
    <w:rsid w:val="05B0705F"/>
    <w:rsid w:val="05C4576A"/>
    <w:rsid w:val="0639166E"/>
    <w:rsid w:val="06A77159"/>
    <w:rsid w:val="073B0DB9"/>
    <w:rsid w:val="0750195A"/>
    <w:rsid w:val="07A0597D"/>
    <w:rsid w:val="081F4BC0"/>
    <w:rsid w:val="085E461E"/>
    <w:rsid w:val="087427F5"/>
    <w:rsid w:val="088230F6"/>
    <w:rsid w:val="08EC779A"/>
    <w:rsid w:val="0926626D"/>
    <w:rsid w:val="099258A0"/>
    <w:rsid w:val="0A246FC6"/>
    <w:rsid w:val="0A256566"/>
    <w:rsid w:val="0A3B774C"/>
    <w:rsid w:val="0A4A2AAD"/>
    <w:rsid w:val="0A746AD0"/>
    <w:rsid w:val="0A7A1F49"/>
    <w:rsid w:val="0AD846BD"/>
    <w:rsid w:val="0AF56363"/>
    <w:rsid w:val="0B0223EA"/>
    <w:rsid w:val="0B8957A8"/>
    <w:rsid w:val="0BA27ECD"/>
    <w:rsid w:val="0BFA005A"/>
    <w:rsid w:val="0C50238B"/>
    <w:rsid w:val="0CC55A09"/>
    <w:rsid w:val="0D0D4ECE"/>
    <w:rsid w:val="0D291221"/>
    <w:rsid w:val="0DA11FD2"/>
    <w:rsid w:val="0E06702C"/>
    <w:rsid w:val="0E4046FD"/>
    <w:rsid w:val="0E6C7767"/>
    <w:rsid w:val="0EA30055"/>
    <w:rsid w:val="0EF70C82"/>
    <w:rsid w:val="0F061277"/>
    <w:rsid w:val="0F47288F"/>
    <w:rsid w:val="0F522358"/>
    <w:rsid w:val="0F62299E"/>
    <w:rsid w:val="0F6D7325"/>
    <w:rsid w:val="0F7504A3"/>
    <w:rsid w:val="0FB84943"/>
    <w:rsid w:val="104A07EA"/>
    <w:rsid w:val="10EC7A09"/>
    <w:rsid w:val="112B084A"/>
    <w:rsid w:val="1194706F"/>
    <w:rsid w:val="12A01831"/>
    <w:rsid w:val="12C573E7"/>
    <w:rsid w:val="13383FE6"/>
    <w:rsid w:val="136824B9"/>
    <w:rsid w:val="14497823"/>
    <w:rsid w:val="147C72E0"/>
    <w:rsid w:val="14952165"/>
    <w:rsid w:val="14C763F7"/>
    <w:rsid w:val="15970B82"/>
    <w:rsid w:val="15A57A0F"/>
    <w:rsid w:val="15E755EF"/>
    <w:rsid w:val="16183813"/>
    <w:rsid w:val="16934A21"/>
    <w:rsid w:val="16A2665D"/>
    <w:rsid w:val="16B10FFE"/>
    <w:rsid w:val="16B72867"/>
    <w:rsid w:val="16FD54F9"/>
    <w:rsid w:val="170A6084"/>
    <w:rsid w:val="170C1542"/>
    <w:rsid w:val="176D5E03"/>
    <w:rsid w:val="17721F61"/>
    <w:rsid w:val="17B2302E"/>
    <w:rsid w:val="17C92852"/>
    <w:rsid w:val="180E2BE0"/>
    <w:rsid w:val="184823F3"/>
    <w:rsid w:val="18531F26"/>
    <w:rsid w:val="18C114EB"/>
    <w:rsid w:val="18D90B4D"/>
    <w:rsid w:val="18EC2DC1"/>
    <w:rsid w:val="19120971"/>
    <w:rsid w:val="191A70DD"/>
    <w:rsid w:val="19237C87"/>
    <w:rsid w:val="1933097B"/>
    <w:rsid w:val="19D9183D"/>
    <w:rsid w:val="1A02204B"/>
    <w:rsid w:val="1A78125F"/>
    <w:rsid w:val="1AE1484B"/>
    <w:rsid w:val="1AF56DCF"/>
    <w:rsid w:val="1AF91EAA"/>
    <w:rsid w:val="1B18188F"/>
    <w:rsid w:val="1B487F31"/>
    <w:rsid w:val="1BA7182E"/>
    <w:rsid w:val="1BD540A8"/>
    <w:rsid w:val="1CC02F7B"/>
    <w:rsid w:val="1D6A6C36"/>
    <w:rsid w:val="1DA96ACE"/>
    <w:rsid w:val="1E124827"/>
    <w:rsid w:val="1E5F455D"/>
    <w:rsid w:val="1E8450F4"/>
    <w:rsid w:val="1ED32208"/>
    <w:rsid w:val="1EF50101"/>
    <w:rsid w:val="1F185C9F"/>
    <w:rsid w:val="1F446C62"/>
    <w:rsid w:val="1F6100E5"/>
    <w:rsid w:val="1F773115"/>
    <w:rsid w:val="201265D2"/>
    <w:rsid w:val="2018349E"/>
    <w:rsid w:val="202B1BD0"/>
    <w:rsid w:val="205F4E04"/>
    <w:rsid w:val="209068BF"/>
    <w:rsid w:val="22543660"/>
    <w:rsid w:val="227775C4"/>
    <w:rsid w:val="238D5009"/>
    <w:rsid w:val="23FA1D3F"/>
    <w:rsid w:val="245D0B85"/>
    <w:rsid w:val="26110F65"/>
    <w:rsid w:val="261D65C9"/>
    <w:rsid w:val="26202CE0"/>
    <w:rsid w:val="26700E2D"/>
    <w:rsid w:val="26810FC6"/>
    <w:rsid w:val="26EF2B32"/>
    <w:rsid w:val="272518E1"/>
    <w:rsid w:val="272D5170"/>
    <w:rsid w:val="27377988"/>
    <w:rsid w:val="276C3894"/>
    <w:rsid w:val="27867035"/>
    <w:rsid w:val="282D7FC3"/>
    <w:rsid w:val="284B72B3"/>
    <w:rsid w:val="28787A1B"/>
    <w:rsid w:val="287D1D75"/>
    <w:rsid w:val="28814408"/>
    <w:rsid w:val="28D84F84"/>
    <w:rsid w:val="28F2435F"/>
    <w:rsid w:val="28F26F37"/>
    <w:rsid w:val="292C55C1"/>
    <w:rsid w:val="299675DA"/>
    <w:rsid w:val="29B66841"/>
    <w:rsid w:val="29F00880"/>
    <w:rsid w:val="2A7C29A0"/>
    <w:rsid w:val="2B045F93"/>
    <w:rsid w:val="2B2A5F65"/>
    <w:rsid w:val="2B6D42DD"/>
    <w:rsid w:val="2BE31E5A"/>
    <w:rsid w:val="2C4C53A8"/>
    <w:rsid w:val="2C6F5098"/>
    <w:rsid w:val="2CBA4A07"/>
    <w:rsid w:val="2D134149"/>
    <w:rsid w:val="2D200A61"/>
    <w:rsid w:val="2D9E213C"/>
    <w:rsid w:val="2DF5401D"/>
    <w:rsid w:val="2E2A50B7"/>
    <w:rsid w:val="2E4F2993"/>
    <w:rsid w:val="2E726445"/>
    <w:rsid w:val="2E8E4B55"/>
    <w:rsid w:val="2EBD7ABB"/>
    <w:rsid w:val="2F3E6A49"/>
    <w:rsid w:val="2F693F93"/>
    <w:rsid w:val="2F743E45"/>
    <w:rsid w:val="2F7D47E9"/>
    <w:rsid w:val="2FCC549A"/>
    <w:rsid w:val="2FD7271C"/>
    <w:rsid w:val="2FFC0592"/>
    <w:rsid w:val="301C2F20"/>
    <w:rsid w:val="302D40B8"/>
    <w:rsid w:val="30614715"/>
    <w:rsid w:val="3062131B"/>
    <w:rsid w:val="30FA6EF8"/>
    <w:rsid w:val="310B3142"/>
    <w:rsid w:val="314F36A1"/>
    <w:rsid w:val="31AB0F77"/>
    <w:rsid w:val="31B507EA"/>
    <w:rsid w:val="31D65E3F"/>
    <w:rsid w:val="31E56082"/>
    <w:rsid w:val="325C50A9"/>
    <w:rsid w:val="32841DA7"/>
    <w:rsid w:val="328A00EB"/>
    <w:rsid w:val="32910E99"/>
    <w:rsid w:val="32FF3174"/>
    <w:rsid w:val="33332424"/>
    <w:rsid w:val="33721B98"/>
    <w:rsid w:val="337E1200"/>
    <w:rsid w:val="33FB02C2"/>
    <w:rsid w:val="343E43BC"/>
    <w:rsid w:val="34621C0C"/>
    <w:rsid w:val="3492263D"/>
    <w:rsid w:val="350527A3"/>
    <w:rsid w:val="35844F81"/>
    <w:rsid w:val="359250AA"/>
    <w:rsid w:val="35F47767"/>
    <w:rsid w:val="3627310D"/>
    <w:rsid w:val="36477CCF"/>
    <w:rsid w:val="365543A3"/>
    <w:rsid w:val="365E6F93"/>
    <w:rsid w:val="36646C9F"/>
    <w:rsid w:val="368E2DE7"/>
    <w:rsid w:val="37EF3597"/>
    <w:rsid w:val="389D78C5"/>
    <w:rsid w:val="38BC5CCF"/>
    <w:rsid w:val="38C747E4"/>
    <w:rsid w:val="38EA0422"/>
    <w:rsid w:val="392751D2"/>
    <w:rsid w:val="394538AA"/>
    <w:rsid w:val="39941E37"/>
    <w:rsid w:val="39B051C8"/>
    <w:rsid w:val="39EB6E2F"/>
    <w:rsid w:val="3A7667C1"/>
    <w:rsid w:val="3A9A3A98"/>
    <w:rsid w:val="3AE71663"/>
    <w:rsid w:val="3B003D98"/>
    <w:rsid w:val="3B3041EE"/>
    <w:rsid w:val="3B3620F1"/>
    <w:rsid w:val="3BFC1F32"/>
    <w:rsid w:val="3CAB00DC"/>
    <w:rsid w:val="3D4D78CD"/>
    <w:rsid w:val="3DCA1B6F"/>
    <w:rsid w:val="3E471BB1"/>
    <w:rsid w:val="3E684793"/>
    <w:rsid w:val="3E6E7E39"/>
    <w:rsid w:val="3ECB4852"/>
    <w:rsid w:val="3ECD7CAC"/>
    <w:rsid w:val="3F2A2F9F"/>
    <w:rsid w:val="3F5B205C"/>
    <w:rsid w:val="3F626F64"/>
    <w:rsid w:val="406B7B7D"/>
    <w:rsid w:val="40DC4AF4"/>
    <w:rsid w:val="411E41E0"/>
    <w:rsid w:val="41201CEB"/>
    <w:rsid w:val="4156527B"/>
    <w:rsid w:val="41957567"/>
    <w:rsid w:val="419773F5"/>
    <w:rsid w:val="42066741"/>
    <w:rsid w:val="42631AD8"/>
    <w:rsid w:val="429D79BA"/>
    <w:rsid w:val="42C551C7"/>
    <w:rsid w:val="437A31D7"/>
    <w:rsid w:val="43AD2778"/>
    <w:rsid w:val="44047998"/>
    <w:rsid w:val="44C64AE2"/>
    <w:rsid w:val="451F1453"/>
    <w:rsid w:val="460A4FA8"/>
    <w:rsid w:val="46B1729B"/>
    <w:rsid w:val="46C96DB9"/>
    <w:rsid w:val="46D73FFC"/>
    <w:rsid w:val="47814A7C"/>
    <w:rsid w:val="479A328E"/>
    <w:rsid w:val="47CD052B"/>
    <w:rsid w:val="48161F40"/>
    <w:rsid w:val="48675F1D"/>
    <w:rsid w:val="48DF1A9F"/>
    <w:rsid w:val="495D1F86"/>
    <w:rsid w:val="4A5C4C7A"/>
    <w:rsid w:val="4A794ADB"/>
    <w:rsid w:val="4B562422"/>
    <w:rsid w:val="4B92733C"/>
    <w:rsid w:val="4BA203DB"/>
    <w:rsid w:val="4BC2367B"/>
    <w:rsid w:val="4BFC204D"/>
    <w:rsid w:val="4C1A37A7"/>
    <w:rsid w:val="4C36128E"/>
    <w:rsid w:val="4C7A3924"/>
    <w:rsid w:val="4CA50490"/>
    <w:rsid w:val="4D60635C"/>
    <w:rsid w:val="4D8C7ECC"/>
    <w:rsid w:val="4E105DDD"/>
    <w:rsid w:val="4E3E2CBC"/>
    <w:rsid w:val="4E5F6A47"/>
    <w:rsid w:val="4E776CFF"/>
    <w:rsid w:val="4EAF1699"/>
    <w:rsid w:val="4ED24036"/>
    <w:rsid w:val="4EF23735"/>
    <w:rsid w:val="4EF439DF"/>
    <w:rsid w:val="4F076227"/>
    <w:rsid w:val="4FF75DFC"/>
    <w:rsid w:val="5038750A"/>
    <w:rsid w:val="50CB3942"/>
    <w:rsid w:val="515741D3"/>
    <w:rsid w:val="516311E5"/>
    <w:rsid w:val="51E42BCC"/>
    <w:rsid w:val="5296143C"/>
    <w:rsid w:val="52FD139B"/>
    <w:rsid w:val="535E0292"/>
    <w:rsid w:val="53707941"/>
    <w:rsid w:val="53C34F67"/>
    <w:rsid w:val="53D93A3B"/>
    <w:rsid w:val="54134879"/>
    <w:rsid w:val="54141D80"/>
    <w:rsid w:val="54156E7A"/>
    <w:rsid w:val="5437531A"/>
    <w:rsid w:val="54E34561"/>
    <w:rsid w:val="55615FF6"/>
    <w:rsid w:val="556B5289"/>
    <w:rsid w:val="558A5758"/>
    <w:rsid w:val="55C9473F"/>
    <w:rsid w:val="566C7E4E"/>
    <w:rsid w:val="56772521"/>
    <w:rsid w:val="56B3711E"/>
    <w:rsid w:val="56D26326"/>
    <w:rsid w:val="56FA61D8"/>
    <w:rsid w:val="572B1A69"/>
    <w:rsid w:val="573011AE"/>
    <w:rsid w:val="574F72B8"/>
    <w:rsid w:val="576379CC"/>
    <w:rsid w:val="57B47377"/>
    <w:rsid w:val="587B1B59"/>
    <w:rsid w:val="58AE7721"/>
    <w:rsid w:val="58C72BED"/>
    <w:rsid w:val="59A1309D"/>
    <w:rsid w:val="59D92F6E"/>
    <w:rsid w:val="5A3C0851"/>
    <w:rsid w:val="5A677840"/>
    <w:rsid w:val="5A684CC2"/>
    <w:rsid w:val="5AA75B21"/>
    <w:rsid w:val="5ABE59A3"/>
    <w:rsid w:val="5ACD4CCB"/>
    <w:rsid w:val="5BDB7BAC"/>
    <w:rsid w:val="5C07651D"/>
    <w:rsid w:val="5C131A95"/>
    <w:rsid w:val="5C472FD8"/>
    <w:rsid w:val="5C981280"/>
    <w:rsid w:val="5C9C4AAB"/>
    <w:rsid w:val="5CAA7834"/>
    <w:rsid w:val="5CD8072A"/>
    <w:rsid w:val="5D17658D"/>
    <w:rsid w:val="5D831609"/>
    <w:rsid w:val="5D92680F"/>
    <w:rsid w:val="5E266A3F"/>
    <w:rsid w:val="5E4D2304"/>
    <w:rsid w:val="5E563493"/>
    <w:rsid w:val="5EC94BA7"/>
    <w:rsid w:val="5ECE3351"/>
    <w:rsid w:val="5F317915"/>
    <w:rsid w:val="5FC7003F"/>
    <w:rsid w:val="60002489"/>
    <w:rsid w:val="60175167"/>
    <w:rsid w:val="6037369D"/>
    <w:rsid w:val="604D6BFB"/>
    <w:rsid w:val="605F0333"/>
    <w:rsid w:val="60864729"/>
    <w:rsid w:val="61301033"/>
    <w:rsid w:val="615C3DAE"/>
    <w:rsid w:val="619F599E"/>
    <w:rsid w:val="61BF1B9C"/>
    <w:rsid w:val="61EC61F4"/>
    <w:rsid w:val="62504B19"/>
    <w:rsid w:val="6281484E"/>
    <w:rsid w:val="62976675"/>
    <w:rsid w:val="62AC08AF"/>
    <w:rsid w:val="62B24CFD"/>
    <w:rsid w:val="62B32BC8"/>
    <w:rsid w:val="64060D92"/>
    <w:rsid w:val="64331FEE"/>
    <w:rsid w:val="648351E2"/>
    <w:rsid w:val="65241BE1"/>
    <w:rsid w:val="657607C4"/>
    <w:rsid w:val="65D5373C"/>
    <w:rsid w:val="66293D45"/>
    <w:rsid w:val="668E4D88"/>
    <w:rsid w:val="669801FC"/>
    <w:rsid w:val="671C0E08"/>
    <w:rsid w:val="6744011E"/>
    <w:rsid w:val="679D1CD1"/>
    <w:rsid w:val="67B0202F"/>
    <w:rsid w:val="67B730FC"/>
    <w:rsid w:val="67CF3618"/>
    <w:rsid w:val="68933C23"/>
    <w:rsid w:val="68A64C92"/>
    <w:rsid w:val="68C40932"/>
    <w:rsid w:val="68FF6C93"/>
    <w:rsid w:val="693D7F76"/>
    <w:rsid w:val="694C01BA"/>
    <w:rsid w:val="6A1658BE"/>
    <w:rsid w:val="6A177F88"/>
    <w:rsid w:val="6AB46016"/>
    <w:rsid w:val="6CB262A4"/>
    <w:rsid w:val="6CBE5D7D"/>
    <w:rsid w:val="6CDB64F2"/>
    <w:rsid w:val="6DC2410B"/>
    <w:rsid w:val="6E913BD5"/>
    <w:rsid w:val="6EAB39A5"/>
    <w:rsid w:val="6EBE0A04"/>
    <w:rsid w:val="6EE8046D"/>
    <w:rsid w:val="6F3910C8"/>
    <w:rsid w:val="6F89508A"/>
    <w:rsid w:val="6FA26D85"/>
    <w:rsid w:val="705160B5"/>
    <w:rsid w:val="70621FE1"/>
    <w:rsid w:val="70A85CC9"/>
    <w:rsid w:val="70CC47A0"/>
    <w:rsid w:val="70FC4BFD"/>
    <w:rsid w:val="712B3E8A"/>
    <w:rsid w:val="72234D34"/>
    <w:rsid w:val="729B5C7F"/>
    <w:rsid w:val="72BC2C6B"/>
    <w:rsid w:val="72F17DF6"/>
    <w:rsid w:val="73093DFB"/>
    <w:rsid w:val="73951EE0"/>
    <w:rsid w:val="739F7734"/>
    <w:rsid w:val="73A409F2"/>
    <w:rsid w:val="73A8404D"/>
    <w:rsid w:val="73A93B06"/>
    <w:rsid w:val="73E87C98"/>
    <w:rsid w:val="75322AE5"/>
    <w:rsid w:val="755314E4"/>
    <w:rsid w:val="7579105B"/>
    <w:rsid w:val="757D73C4"/>
    <w:rsid w:val="75932CCC"/>
    <w:rsid w:val="75CD3D69"/>
    <w:rsid w:val="75F23E97"/>
    <w:rsid w:val="76386AE5"/>
    <w:rsid w:val="76636B42"/>
    <w:rsid w:val="76A17F1A"/>
    <w:rsid w:val="76CA52A7"/>
    <w:rsid w:val="76F360F5"/>
    <w:rsid w:val="77203782"/>
    <w:rsid w:val="772E5419"/>
    <w:rsid w:val="77DB6C57"/>
    <w:rsid w:val="780D4B0B"/>
    <w:rsid w:val="786C7F30"/>
    <w:rsid w:val="79545B0D"/>
    <w:rsid w:val="79707FCB"/>
    <w:rsid w:val="79760CC7"/>
    <w:rsid w:val="79B71D80"/>
    <w:rsid w:val="79D13F11"/>
    <w:rsid w:val="79D57D57"/>
    <w:rsid w:val="7A141457"/>
    <w:rsid w:val="7AFA2C1B"/>
    <w:rsid w:val="7B95779E"/>
    <w:rsid w:val="7BA01C53"/>
    <w:rsid w:val="7C0A3AC0"/>
    <w:rsid w:val="7C1D2DA1"/>
    <w:rsid w:val="7CA0061A"/>
    <w:rsid w:val="7CDE7A5E"/>
    <w:rsid w:val="7D160B57"/>
    <w:rsid w:val="7D1961AD"/>
    <w:rsid w:val="7D5A6772"/>
    <w:rsid w:val="7DEA7514"/>
    <w:rsid w:val="7DF073B2"/>
    <w:rsid w:val="7E01111B"/>
    <w:rsid w:val="7E062251"/>
    <w:rsid w:val="7E1C5F55"/>
    <w:rsid w:val="7E2326E3"/>
    <w:rsid w:val="7E77269D"/>
    <w:rsid w:val="7F117852"/>
    <w:rsid w:val="7F135366"/>
    <w:rsid w:val="7F2C549A"/>
    <w:rsid w:val="7FC65C99"/>
    <w:rsid w:val="7FD87C34"/>
    <w:rsid w:val="7FF96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9"/>
    <w:pPr>
      <w:keepNext/>
      <w:keepLines/>
      <w:spacing w:before="340" w:after="330" w:line="576" w:lineRule="auto"/>
      <w:outlineLvl w:val="0"/>
    </w:pPr>
    <w:rPr>
      <w:b/>
      <w:kern w:val="44"/>
      <w:sz w:val="44"/>
    </w:rPr>
  </w:style>
  <w:style w:type="paragraph" w:styleId="5">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6">
    <w:name w:val="heading 3"/>
    <w:basedOn w:val="1"/>
    <w:next w:val="1"/>
    <w:qFormat/>
    <w:uiPriority w:val="0"/>
    <w:pPr>
      <w:outlineLvl w:val="2"/>
    </w:pPr>
    <w:rPr>
      <w:b/>
      <w:sz w:val="24"/>
      <w:szCs w:val="26"/>
    </w:rPr>
  </w:style>
  <w:style w:type="paragraph" w:styleId="7">
    <w:name w:val="heading 4"/>
    <w:basedOn w:val="1"/>
    <w:next w:val="1"/>
    <w:link w:val="44"/>
    <w:qFormat/>
    <w:uiPriority w:val="0"/>
    <w:pPr>
      <w:outlineLvl w:val="3"/>
    </w:p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9"/>
    <w:qFormat/>
    <w:uiPriority w:val="0"/>
    <w:pPr>
      <w:spacing w:after="0"/>
      <w:ind w:left="0" w:leftChars="0" w:firstLine="200" w:firstLineChars="200"/>
    </w:pPr>
    <w:rPr>
      <w:kern w:val="0"/>
      <w:sz w:val="28"/>
      <w:szCs w:val="20"/>
    </w:rPr>
  </w:style>
  <w:style w:type="paragraph" w:styleId="3">
    <w:name w:val="Body Text Indent"/>
    <w:basedOn w:val="1"/>
    <w:link w:val="28"/>
    <w:semiHidden/>
    <w:unhideWhenUsed/>
    <w:qFormat/>
    <w:uiPriority w:val="99"/>
    <w:pPr>
      <w:spacing w:after="120"/>
      <w:ind w:left="420" w:leftChars="200"/>
    </w:pPr>
  </w:style>
  <w:style w:type="paragraph" w:styleId="8">
    <w:name w:val="annotation text"/>
    <w:basedOn w:val="1"/>
    <w:link w:val="38"/>
    <w:semiHidden/>
    <w:unhideWhenUsed/>
    <w:qFormat/>
    <w:uiPriority w:val="99"/>
    <w:pPr>
      <w:jc w:val="left"/>
    </w:pPr>
  </w:style>
  <w:style w:type="paragraph" w:styleId="9">
    <w:name w:val="Body Text"/>
    <w:basedOn w:val="1"/>
    <w:next w:val="10"/>
    <w:unhideWhenUsed/>
    <w:qFormat/>
    <w:uiPriority w:val="99"/>
    <w:pPr>
      <w:spacing w:after="120"/>
    </w:pPr>
  </w:style>
  <w:style w:type="paragraph" w:styleId="10">
    <w:name w:val="toc 4"/>
    <w:basedOn w:val="1"/>
    <w:next w:val="1"/>
    <w:semiHidden/>
    <w:qFormat/>
    <w:uiPriority w:val="0"/>
    <w:pPr>
      <w:ind w:left="1260" w:leftChars="600"/>
    </w:pPr>
  </w:style>
  <w:style w:type="paragraph" w:styleId="11">
    <w:name w:val="toc 3"/>
    <w:basedOn w:val="1"/>
    <w:next w:val="1"/>
    <w:qFormat/>
    <w:uiPriority w:val="39"/>
    <w:pPr>
      <w:snapToGrid w:val="0"/>
      <w:spacing w:line="360" w:lineRule="auto"/>
      <w:ind w:left="150" w:leftChars="150"/>
      <w:jc w:val="left"/>
    </w:pPr>
    <w:rPr>
      <w:rFonts w:ascii="Times New Roman" w:hAnsi="Times New Roman" w:eastAsia="宋体" w:cs="Times New Roman"/>
      <w:szCs w:val="24"/>
    </w:rPr>
  </w:style>
  <w:style w:type="paragraph" w:styleId="12">
    <w:name w:val="Plain Text"/>
    <w:basedOn w:val="1"/>
    <w:qFormat/>
    <w:uiPriority w:val="0"/>
    <w:rPr>
      <w:rFonts w:ascii="宋体" w:hAnsi="Courier New" w:cs="宋体"/>
      <w:szCs w:val="21"/>
    </w:rPr>
  </w:style>
  <w:style w:type="paragraph" w:styleId="13">
    <w:name w:val="Balloon Text"/>
    <w:basedOn w:val="1"/>
    <w:link w:val="36"/>
    <w:semiHidden/>
    <w:unhideWhenUsed/>
    <w:qFormat/>
    <w:uiPriority w:val="99"/>
    <w:rPr>
      <w:sz w:val="18"/>
      <w:szCs w:val="18"/>
    </w:rPr>
  </w:style>
  <w:style w:type="paragraph" w:styleId="14">
    <w:name w:val="footer"/>
    <w:basedOn w:val="1"/>
    <w:unhideWhenUsed/>
    <w:qFormat/>
    <w:uiPriority w:val="99"/>
    <w:pPr>
      <w:tabs>
        <w:tab w:val="center" w:pos="4153"/>
        <w:tab w:val="right" w:pos="8306"/>
      </w:tabs>
      <w:snapToGrid w:val="0"/>
      <w:jc w:val="left"/>
    </w:pPr>
    <w:rPr>
      <w:kern w:val="0"/>
      <w:sz w:val="18"/>
      <w:szCs w:val="18"/>
    </w:rPr>
  </w:style>
  <w:style w:type="paragraph" w:styleId="15">
    <w:name w:val="header"/>
    <w:basedOn w:val="1"/>
    <w:link w:val="37"/>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39"/>
    <w:pPr>
      <w:snapToGrid w:val="0"/>
      <w:spacing w:line="360" w:lineRule="auto"/>
      <w:jc w:val="left"/>
    </w:pPr>
    <w:rPr>
      <w:rFonts w:ascii="宋体" w:hAnsi="宋体" w:eastAsia="宋体" w:cs="Times New Roman"/>
      <w:b/>
      <w:bCs/>
      <w:szCs w:val="24"/>
    </w:rPr>
  </w:style>
  <w:style w:type="paragraph" w:styleId="17">
    <w:name w:val="toc 2"/>
    <w:basedOn w:val="1"/>
    <w:next w:val="1"/>
    <w:qFormat/>
    <w:uiPriority w:val="39"/>
    <w:pPr>
      <w:snapToGrid w:val="0"/>
      <w:spacing w:line="360" w:lineRule="auto"/>
      <w:ind w:left="100" w:leftChars="100"/>
      <w:jc w:val="left"/>
    </w:pPr>
    <w:rPr>
      <w:rFonts w:ascii="Times New Roman" w:hAnsi="Times New Roman" w:eastAsia="宋体" w:cs="Times New Roman"/>
      <w:szCs w:val="24"/>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annotation subject"/>
    <w:basedOn w:val="8"/>
    <w:next w:val="8"/>
    <w:link w:val="39"/>
    <w:semiHidden/>
    <w:unhideWhenUsed/>
    <w:qFormat/>
    <w:uiPriority w:val="99"/>
    <w:rPr>
      <w:b/>
      <w:bCs/>
    </w:rPr>
  </w:style>
  <w:style w:type="paragraph" w:styleId="20">
    <w:name w:val="Body Text First Indent"/>
    <w:basedOn w:val="9"/>
    <w:qFormat/>
    <w:uiPriority w:val="0"/>
    <w:pPr>
      <w:ind w:firstLine="420" w:firstLineChars="1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bCs/>
    </w:rPr>
  </w:style>
  <w:style w:type="character" w:styleId="25">
    <w:name w:val="annotation reference"/>
    <w:basedOn w:val="23"/>
    <w:semiHidden/>
    <w:unhideWhenUsed/>
    <w:qFormat/>
    <w:uiPriority w:val="99"/>
    <w:rPr>
      <w:sz w:val="21"/>
      <w:szCs w:val="21"/>
    </w:rPr>
  </w:style>
  <w:style w:type="character" w:customStyle="1" w:styleId="26">
    <w:name w:val="15"/>
    <w:qFormat/>
    <w:uiPriority w:val="0"/>
    <w:rPr>
      <w:b/>
      <w:bCs/>
    </w:rPr>
  </w:style>
  <w:style w:type="character" w:customStyle="1" w:styleId="27">
    <w:name w:val="正文 加粗"/>
    <w:qFormat/>
    <w:uiPriority w:val="0"/>
    <w:rPr>
      <w:b/>
      <w:bCs/>
    </w:rPr>
  </w:style>
  <w:style w:type="character" w:customStyle="1" w:styleId="28">
    <w:name w:val="正文文本缩进 Char"/>
    <w:basedOn w:val="23"/>
    <w:link w:val="3"/>
    <w:semiHidden/>
    <w:qFormat/>
    <w:uiPriority w:val="99"/>
    <w:rPr>
      <w:rFonts w:ascii="Times New Roman" w:hAnsi="Times New Roman" w:eastAsia="宋体" w:cs="Times New Roman"/>
      <w:kern w:val="2"/>
      <w:sz w:val="21"/>
    </w:rPr>
  </w:style>
  <w:style w:type="character" w:customStyle="1" w:styleId="29">
    <w:name w:val="正文首行缩进 2 Char"/>
    <w:basedOn w:val="28"/>
    <w:link w:val="2"/>
    <w:qFormat/>
    <w:uiPriority w:val="0"/>
    <w:rPr>
      <w:rFonts w:ascii="Times New Roman" w:hAnsi="Times New Roman" w:eastAsia="宋体" w:cs="Times New Roman"/>
      <w:kern w:val="2"/>
      <w:sz w:val="28"/>
      <w:szCs w:val="20"/>
    </w:rPr>
  </w:style>
  <w:style w:type="paragraph" w:styleId="30">
    <w:name w:val="List Paragraph"/>
    <w:basedOn w:val="1"/>
    <w:qFormat/>
    <w:uiPriority w:val="34"/>
    <w:pPr>
      <w:ind w:firstLine="420" w:firstLineChars="200"/>
    </w:pPr>
  </w:style>
  <w:style w:type="paragraph" w:customStyle="1" w:styleId="31">
    <w:name w:val="封面标题"/>
    <w:basedOn w:val="1"/>
    <w:qFormat/>
    <w:uiPriority w:val="0"/>
    <w:pPr>
      <w:spacing w:line="360" w:lineRule="auto"/>
      <w:jc w:val="center"/>
    </w:pPr>
    <w:rPr>
      <w:rFonts w:eastAsia="黑体" w:cs="宋体"/>
      <w:b/>
      <w:sz w:val="52"/>
      <w:szCs w:val="20"/>
    </w:rPr>
  </w:style>
  <w:style w:type="paragraph" w:customStyle="1" w:styleId="32">
    <w:name w:val="样式 首行缩进:  2 字符"/>
    <w:basedOn w:val="1"/>
    <w:qFormat/>
    <w:uiPriority w:val="0"/>
    <w:pPr>
      <w:spacing w:line="312" w:lineRule="auto"/>
      <w:ind w:firstLine="200" w:firstLineChars="200"/>
      <w:jc w:val="left"/>
    </w:pPr>
    <w:rPr>
      <w:rFonts w:cs="宋体"/>
    </w:rPr>
  </w:style>
  <w:style w:type="paragraph" w:customStyle="1" w:styleId="33">
    <w:name w:val="首行缩进:  2 字符"/>
    <w:basedOn w:val="1"/>
    <w:qFormat/>
    <w:uiPriority w:val="0"/>
    <w:pPr>
      <w:spacing w:line="312" w:lineRule="auto"/>
      <w:ind w:firstLine="420" w:firstLineChars="200"/>
      <w:jc w:val="left"/>
    </w:pPr>
    <w:rPr>
      <w:rFonts w:ascii="Calibri" w:hAnsi="Calibri" w:cs="宋体"/>
      <w:snapToGrid w:val="0"/>
      <w:color w:val="000000"/>
    </w:rPr>
  </w:style>
  <w:style w:type="paragraph" w:customStyle="1" w:styleId="34">
    <w:name w:val="正文居中"/>
    <w:basedOn w:val="1"/>
    <w:qFormat/>
    <w:uiPriority w:val="0"/>
    <w:pPr>
      <w:jc w:val="center"/>
    </w:pPr>
    <w:rPr>
      <w:b/>
      <w:sz w:val="24"/>
    </w:rPr>
  </w:style>
  <w:style w:type="paragraph" w:customStyle="1" w:styleId="35">
    <w:name w:val="正标题 居中"/>
    <w:basedOn w:val="1"/>
    <w:next w:val="1"/>
    <w:qFormat/>
    <w:uiPriority w:val="0"/>
    <w:pPr>
      <w:jc w:val="center"/>
    </w:pPr>
    <w:rPr>
      <w:rFonts w:cs="宋体"/>
      <w:b/>
      <w:kern w:val="0"/>
      <w:szCs w:val="21"/>
    </w:rPr>
  </w:style>
  <w:style w:type="character" w:customStyle="1" w:styleId="36">
    <w:name w:val="批注框文本 Char"/>
    <w:basedOn w:val="23"/>
    <w:link w:val="13"/>
    <w:semiHidden/>
    <w:qFormat/>
    <w:uiPriority w:val="99"/>
    <w:rPr>
      <w:rFonts w:ascii="Times New Roman" w:hAnsi="Times New Roman" w:eastAsia="宋体"/>
      <w:kern w:val="2"/>
      <w:sz w:val="18"/>
      <w:szCs w:val="18"/>
    </w:rPr>
  </w:style>
  <w:style w:type="character" w:customStyle="1" w:styleId="37">
    <w:name w:val="页眉 Char"/>
    <w:basedOn w:val="23"/>
    <w:link w:val="15"/>
    <w:qFormat/>
    <w:uiPriority w:val="99"/>
    <w:rPr>
      <w:rFonts w:ascii="Times New Roman" w:hAnsi="Times New Roman" w:eastAsia="宋体"/>
      <w:kern w:val="2"/>
      <w:sz w:val="18"/>
      <w:szCs w:val="22"/>
    </w:rPr>
  </w:style>
  <w:style w:type="character" w:customStyle="1" w:styleId="38">
    <w:name w:val="批注文字 Char"/>
    <w:basedOn w:val="23"/>
    <w:link w:val="8"/>
    <w:semiHidden/>
    <w:qFormat/>
    <w:uiPriority w:val="99"/>
    <w:rPr>
      <w:rFonts w:ascii="Times New Roman" w:hAnsi="Times New Roman" w:eastAsia="宋体"/>
      <w:kern w:val="2"/>
      <w:sz w:val="21"/>
      <w:szCs w:val="22"/>
    </w:rPr>
  </w:style>
  <w:style w:type="character" w:customStyle="1" w:styleId="39">
    <w:name w:val="批注主题 Char"/>
    <w:basedOn w:val="38"/>
    <w:link w:val="19"/>
    <w:semiHidden/>
    <w:qFormat/>
    <w:uiPriority w:val="99"/>
    <w:rPr>
      <w:rFonts w:ascii="Times New Roman" w:hAnsi="Times New Roman" w:eastAsia="宋体"/>
      <w:b/>
      <w:bCs/>
      <w:kern w:val="2"/>
      <w:sz w:val="21"/>
      <w:szCs w:val="22"/>
    </w:rPr>
  </w:style>
  <w:style w:type="character" w:customStyle="1" w:styleId="40">
    <w:name w:val="font51"/>
    <w:basedOn w:val="23"/>
    <w:qFormat/>
    <w:uiPriority w:val="0"/>
    <w:rPr>
      <w:rFonts w:hint="eastAsia" w:ascii="宋体" w:hAnsi="宋体" w:eastAsia="宋体" w:cs="宋体"/>
      <w:color w:val="000000"/>
      <w:sz w:val="18"/>
      <w:szCs w:val="18"/>
      <w:u w:val="none"/>
    </w:rPr>
  </w:style>
  <w:style w:type="character" w:customStyle="1" w:styleId="41">
    <w:name w:val="font31"/>
    <w:basedOn w:val="23"/>
    <w:qFormat/>
    <w:uiPriority w:val="0"/>
    <w:rPr>
      <w:rFonts w:hint="eastAsia" w:ascii="宋体" w:hAnsi="宋体" w:eastAsia="宋体" w:cs="宋体"/>
      <w:color w:val="000000"/>
      <w:sz w:val="18"/>
      <w:szCs w:val="18"/>
      <w:u w:val="none"/>
    </w:rPr>
  </w:style>
  <w:style w:type="character" w:customStyle="1" w:styleId="42">
    <w:name w:val="font41"/>
    <w:basedOn w:val="23"/>
    <w:qFormat/>
    <w:uiPriority w:val="0"/>
    <w:rPr>
      <w:rFonts w:hint="eastAsia" w:ascii="微软雅黑" w:hAnsi="微软雅黑" w:eastAsia="微软雅黑" w:cs="微软雅黑"/>
      <w:color w:val="000000"/>
      <w:sz w:val="20"/>
      <w:szCs w:val="20"/>
      <w:u w:val="none"/>
    </w:rPr>
  </w:style>
  <w:style w:type="paragraph" w:customStyle="1" w:styleId="43">
    <w:name w:val="列出段落1"/>
    <w:basedOn w:val="1"/>
    <w:qFormat/>
    <w:uiPriority w:val="0"/>
    <w:pPr>
      <w:spacing w:beforeLines="50" w:afterLines="50" w:line="377" w:lineRule="auto"/>
      <w:ind w:left="1276" w:firstLine="420" w:firstLineChars="200"/>
    </w:pPr>
    <w:rPr>
      <w:rFonts w:ascii="Calibri" w:hAnsi="Calibri"/>
      <w:szCs w:val="21"/>
    </w:rPr>
  </w:style>
  <w:style w:type="character" w:customStyle="1" w:styleId="44">
    <w:name w:val="标题 4 Char"/>
    <w:link w:val="7"/>
    <w:qFormat/>
    <w:uiPriority w:val="0"/>
  </w:style>
  <w:style w:type="paragraph" w:customStyle="1" w:styleId="45">
    <w:name w:val="00正文"/>
    <w:basedOn w:val="1"/>
    <w:qFormat/>
    <w:uiPriority w:val="0"/>
    <w:pPr>
      <w:adjustRightInd w:val="0"/>
      <w:snapToGrid w:val="0"/>
      <w:spacing w:line="360" w:lineRule="auto"/>
      <w:ind w:firstLine="200" w:firstLineChars="200"/>
      <w:jc w:val="left"/>
    </w:pPr>
    <w:rPr>
      <w:sz w:val="26"/>
      <w:szCs w:val="28"/>
    </w:rPr>
  </w:style>
  <w:style w:type="character" w:customStyle="1" w:styleId="46">
    <w:name w:val="font11"/>
    <w:basedOn w:val="23"/>
    <w:qFormat/>
    <w:uiPriority w:val="0"/>
    <w:rPr>
      <w:rFonts w:ascii="微软雅黑" w:hAnsi="微软雅黑" w:eastAsia="微软雅黑" w:cs="微软雅黑"/>
      <w:color w:val="000000"/>
      <w:sz w:val="24"/>
      <w:szCs w:val="24"/>
      <w:u w:val="none"/>
    </w:rPr>
  </w:style>
  <w:style w:type="paragraph" w:customStyle="1" w:styleId="47">
    <w:name w:val="TOC Heading"/>
    <w:basedOn w:val="4"/>
    <w:next w:val="1"/>
    <w:unhideWhenUsed/>
    <w:qFormat/>
    <w:uiPriority w:val="39"/>
    <w:pPr>
      <w:keepNext/>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A3553B-29B0-4A26-807F-F0FBC4074557}">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35</Pages>
  <Words>3056</Words>
  <Characters>17420</Characters>
  <Lines>145</Lines>
  <Paragraphs>40</Paragraphs>
  <TotalTime>5</TotalTime>
  <ScaleCrop>false</ScaleCrop>
  <LinksUpToDate>false</LinksUpToDate>
  <CharactersWithSpaces>20436</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2021-05-18T08:34:00Z</dcterms:created>
  <dc:creator>admin</dc:creator>
  <cp:lastModifiedBy>金先森</cp:lastModifiedBy>
  <cp:lastPrinted>2021-05-18T08:36:00Z</cp:lastPrinted>
  <dcterms:modified xsi:type="dcterms:W3CDTF">2021-11-30T01:45:39Z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1E5A2ED1156D4EF6A9560D7262EB4EFC</vt:lpwstr>
  </property>
</Properties>
</file>