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240" w:line="240" w:lineRule="auto"/>
        <w:jc w:val="center"/>
        <w:rPr>
          <w:rFonts w:ascii="黑体" w:hAnsi="黑体" w:eastAsia="黑体"/>
        </w:rPr>
      </w:pPr>
      <w:bookmarkStart w:id="0" w:name="_Toc363291635"/>
      <w:r>
        <w:rPr>
          <w:rFonts w:hint="eastAsia" w:ascii="黑体" w:hAnsi="黑体" w:eastAsia="黑体"/>
        </w:rPr>
        <w:t>附录</w:t>
      </w:r>
      <w:r>
        <w:rPr>
          <w:rFonts w:ascii="黑体" w:hAnsi="黑体" w:eastAsia="黑体"/>
        </w:rPr>
        <w:t xml:space="preserve">1  </w:t>
      </w:r>
      <w:r>
        <w:rPr>
          <w:rFonts w:hint="eastAsia" w:ascii="黑体" w:hAnsi="黑体" w:eastAsia="黑体"/>
        </w:rPr>
        <w:t>资格审查条件（资质最低条件）</w:t>
      </w:r>
      <w:bookmarkEnd w:id="0"/>
    </w:p>
    <w:tbl>
      <w:tblPr>
        <w:tblStyle w:val="5"/>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74"/>
        <w:gridCol w:w="818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27" w:hRule="atLeast"/>
        </w:trPr>
        <w:tc>
          <w:tcPr>
            <w:tcW w:w="1174" w:type="dxa"/>
            <w:tcBorders>
              <w:top w:val="single" w:color="auto" w:sz="12" w:space="0"/>
            </w:tcBorders>
            <w:noWrap w:val="0"/>
            <w:vAlign w:val="center"/>
          </w:tcPr>
          <w:p>
            <w:pPr>
              <w:spacing w:before="156" w:beforeLines="50" w:after="156" w:afterLines="50" w:line="420" w:lineRule="exact"/>
              <w:jc w:val="center"/>
              <w:rPr>
                <w:rFonts w:ascii="宋体"/>
                <w:szCs w:val="21"/>
              </w:rPr>
            </w:pPr>
            <w:r>
              <w:rPr>
                <w:rFonts w:hint="eastAsia" w:ascii="宋体" w:hAnsi="宋体"/>
                <w:szCs w:val="21"/>
              </w:rPr>
              <w:t>标段号</w:t>
            </w:r>
          </w:p>
        </w:tc>
        <w:tc>
          <w:tcPr>
            <w:tcW w:w="8186" w:type="dxa"/>
            <w:tcBorders>
              <w:top w:val="single" w:color="auto" w:sz="12" w:space="0"/>
            </w:tcBorders>
            <w:noWrap w:val="0"/>
            <w:vAlign w:val="center"/>
          </w:tcPr>
          <w:p>
            <w:pPr>
              <w:spacing w:before="156" w:beforeLines="50" w:after="156" w:afterLines="50" w:line="420" w:lineRule="exact"/>
              <w:jc w:val="center"/>
              <w:rPr>
                <w:rFonts w:ascii="宋体"/>
                <w:szCs w:val="21"/>
              </w:rPr>
            </w:pPr>
            <w:r>
              <w:rPr>
                <w:rFonts w:hint="eastAsia" w:ascii="宋体" w:hAnsi="宋体"/>
                <w:szCs w:val="21"/>
              </w:rPr>
              <w:t>施工企业资质等级要求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60" w:hRule="atLeast"/>
        </w:trPr>
        <w:tc>
          <w:tcPr>
            <w:tcW w:w="1174" w:type="dxa"/>
            <w:tcBorders>
              <w:bottom w:val="single" w:color="auto" w:sz="12" w:space="0"/>
            </w:tcBorders>
            <w:noWrap w:val="0"/>
            <w:vAlign w:val="top"/>
          </w:tcPr>
          <w:p>
            <w:pPr>
              <w:spacing w:line="360" w:lineRule="auto"/>
              <w:ind w:right="420" w:rightChars="200"/>
              <w:rPr>
                <w:rFonts w:ascii="宋体"/>
                <w:b/>
                <w:szCs w:val="21"/>
              </w:rPr>
            </w:pPr>
          </w:p>
          <w:p>
            <w:pPr>
              <w:spacing w:line="400" w:lineRule="exact"/>
              <w:jc w:val="center"/>
              <w:rPr>
                <w:rFonts w:ascii="宋体"/>
                <w:b/>
                <w:szCs w:val="21"/>
              </w:rPr>
            </w:pPr>
            <w:r>
              <w:rPr>
                <w:rFonts w:hint="eastAsia" w:ascii="宋体" w:hAnsi="宋体"/>
                <w:b/>
                <w:szCs w:val="21"/>
              </w:rPr>
              <w:t>施工标段</w:t>
            </w:r>
          </w:p>
        </w:tc>
        <w:tc>
          <w:tcPr>
            <w:tcW w:w="8186" w:type="dxa"/>
            <w:tcBorders>
              <w:bottom w:val="single" w:color="auto" w:sz="12" w:space="0"/>
            </w:tcBorders>
            <w:noWrap w:val="0"/>
            <w:vAlign w:val="top"/>
          </w:tcPr>
          <w:p>
            <w:pPr>
              <w:spacing w:line="400" w:lineRule="exact"/>
              <w:rPr>
                <w:rFonts w:ascii="宋体"/>
                <w:b/>
                <w:szCs w:val="21"/>
              </w:rPr>
            </w:pPr>
            <w:r>
              <w:rPr>
                <w:rFonts w:hint="eastAsia" w:ascii="宋体" w:hAnsi="宋体"/>
                <w:b/>
                <w:szCs w:val="21"/>
              </w:rPr>
              <w:t>投标人应</w:t>
            </w:r>
            <w:r>
              <w:rPr>
                <w:rFonts w:ascii="宋体" w:hAnsi="宋体"/>
                <w:b/>
                <w:szCs w:val="21"/>
                <w:u w:val="single"/>
              </w:rPr>
              <w:t>具备</w:t>
            </w:r>
            <w:r>
              <w:rPr>
                <w:rFonts w:hint="eastAsia" w:ascii="宋体" w:hAnsi="宋体"/>
                <w:b/>
                <w:szCs w:val="21"/>
                <w:u w:val="single"/>
              </w:rPr>
              <w:t>中华人民共和国境内注册的</w:t>
            </w:r>
            <w:r>
              <w:rPr>
                <w:rFonts w:ascii="宋体" w:hAnsi="宋体"/>
                <w:b/>
                <w:szCs w:val="21"/>
                <w:u w:val="single"/>
              </w:rPr>
              <w:t>独立法人资格</w:t>
            </w:r>
            <w:r>
              <w:rPr>
                <w:rFonts w:hint="eastAsia" w:ascii="宋体" w:hAnsi="宋体"/>
                <w:b/>
                <w:szCs w:val="21"/>
                <w:u w:val="single"/>
              </w:rPr>
              <w:t>、具备港口与航道工程施工总承包三级及以上资质。</w:t>
            </w:r>
          </w:p>
        </w:tc>
      </w:tr>
    </w:tbl>
    <w:p>
      <w:pPr>
        <w:rPr>
          <w:rFonts w:ascii="宋体"/>
          <w:b/>
        </w:rPr>
        <w:sectPr>
          <w:headerReference r:id="rId5" w:type="first"/>
          <w:footerReference r:id="rId8" w:type="first"/>
          <w:headerReference r:id="rId3" w:type="default"/>
          <w:footerReference r:id="rId6" w:type="default"/>
          <w:headerReference r:id="rId4" w:type="even"/>
          <w:footerReference r:id="rId7" w:type="even"/>
          <w:pgSz w:w="11906" w:h="16838"/>
          <w:pgMar w:top="1474" w:right="1418" w:bottom="1361" w:left="1418" w:header="964" w:footer="992" w:gutter="0"/>
          <w:cols w:space="720" w:num="1"/>
          <w:docGrid w:type="lines" w:linePitch="312" w:charSpace="0"/>
        </w:sectPr>
      </w:pPr>
    </w:p>
    <w:p>
      <w:pPr>
        <w:pStyle w:val="2"/>
        <w:spacing w:before="0" w:after="240" w:line="240" w:lineRule="auto"/>
        <w:jc w:val="center"/>
        <w:rPr>
          <w:rFonts w:ascii="黑体" w:hAnsi="黑体" w:eastAsia="黑体"/>
        </w:rPr>
      </w:pPr>
      <w:bookmarkStart w:id="1" w:name="_Toc1535"/>
      <w:bookmarkStart w:id="2" w:name="_Toc363291636"/>
      <w:bookmarkStart w:id="3" w:name="_Toc233435896"/>
      <w:bookmarkStart w:id="4" w:name="_Toc233423169"/>
      <w:bookmarkStart w:id="5" w:name="_Toc8978"/>
      <w:bookmarkStart w:id="6" w:name="_Toc241637398"/>
      <w:bookmarkStart w:id="7" w:name="_Toc233429679"/>
      <w:r>
        <w:rPr>
          <w:rFonts w:hint="eastAsia" w:ascii="黑体" w:hAnsi="黑体" w:eastAsia="黑体"/>
        </w:rPr>
        <w:t>附录</w:t>
      </w:r>
      <w:r>
        <w:rPr>
          <w:rFonts w:ascii="黑体" w:hAnsi="黑体" w:eastAsia="黑体"/>
        </w:rPr>
        <w:t xml:space="preserve">2  </w:t>
      </w:r>
      <w:r>
        <w:rPr>
          <w:rFonts w:hint="eastAsia" w:ascii="黑体" w:hAnsi="黑体" w:eastAsia="黑体"/>
        </w:rPr>
        <w:t>资格审查条件（财务最低要求）</w:t>
      </w:r>
      <w:bookmarkEnd w:id="1"/>
      <w:bookmarkEnd w:id="2"/>
      <w:bookmarkEnd w:id="3"/>
      <w:bookmarkEnd w:id="4"/>
      <w:bookmarkEnd w:id="5"/>
      <w:bookmarkEnd w:id="6"/>
      <w:bookmarkEnd w:id="7"/>
    </w:p>
    <w:tbl>
      <w:tblPr>
        <w:tblStyle w:val="5"/>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07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9071" w:type="dxa"/>
            <w:tcBorders>
              <w:top w:val="single" w:color="auto" w:sz="12" w:space="0"/>
            </w:tcBorders>
            <w:noWrap w:val="0"/>
            <w:vAlign w:val="center"/>
          </w:tcPr>
          <w:p>
            <w:pPr>
              <w:spacing w:before="156" w:beforeLines="50" w:after="156" w:afterLines="50" w:line="420" w:lineRule="exact"/>
              <w:jc w:val="center"/>
              <w:rPr>
                <w:rFonts w:ascii="宋体"/>
                <w:b/>
                <w:szCs w:val="21"/>
              </w:rPr>
            </w:pPr>
            <w:r>
              <w:rPr>
                <w:rFonts w:hint="eastAsia" w:ascii="宋体" w:hAnsi="宋体"/>
                <w:b/>
                <w:szCs w:val="21"/>
              </w:rPr>
              <w:t>财</w:t>
            </w:r>
            <w:r>
              <w:rPr>
                <w:rFonts w:ascii="宋体" w:hAnsi="宋体"/>
                <w:b/>
                <w:szCs w:val="21"/>
              </w:rPr>
              <w:t xml:space="preserve"> </w:t>
            </w:r>
            <w:r>
              <w:rPr>
                <w:rFonts w:hint="eastAsia" w:ascii="宋体" w:hAnsi="宋体"/>
                <w:b/>
                <w:szCs w:val="21"/>
              </w:rPr>
              <w:t>务</w:t>
            </w:r>
            <w:r>
              <w:rPr>
                <w:rFonts w:ascii="宋体" w:hAnsi="宋体"/>
                <w:b/>
                <w:szCs w:val="21"/>
              </w:rPr>
              <w:t xml:space="preserve"> </w:t>
            </w:r>
            <w:r>
              <w:rPr>
                <w:rFonts w:hint="eastAsia" w:ascii="宋体" w:hAnsi="宋体"/>
                <w:b/>
                <w:szCs w:val="21"/>
              </w:rPr>
              <w:t>要</w:t>
            </w:r>
            <w:r>
              <w:rPr>
                <w:rFonts w:ascii="宋体" w:hAnsi="宋体"/>
                <w:b/>
                <w:szCs w:val="21"/>
              </w:rPr>
              <w:t xml:space="preserve"> </w:t>
            </w:r>
            <w:r>
              <w:rPr>
                <w:rFonts w:hint="eastAsia" w:ascii="宋体" w:hAnsi="宋体"/>
                <w:b/>
                <w:szCs w:val="21"/>
              </w:rPr>
              <w:t>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31" w:hRule="atLeast"/>
        </w:trPr>
        <w:tc>
          <w:tcPr>
            <w:tcW w:w="9071" w:type="dxa"/>
            <w:tcBorders>
              <w:bottom w:val="single" w:color="auto" w:sz="12" w:space="0"/>
            </w:tcBorders>
            <w:noWrap w:val="0"/>
            <w:vAlign w:val="top"/>
          </w:tcPr>
          <w:p>
            <w:pPr>
              <w:rPr>
                <w:rFonts w:ascii="宋体"/>
                <w:b/>
                <w:szCs w:val="21"/>
              </w:rPr>
            </w:pPr>
          </w:p>
          <w:p>
            <w:pPr>
              <w:spacing w:line="360" w:lineRule="auto"/>
              <w:ind w:left="420" w:leftChars="200" w:right="420" w:rightChars="200" w:firstLine="422" w:firstLineChars="200"/>
              <w:rPr>
                <w:rFonts w:ascii="宋体"/>
                <w:b/>
                <w:szCs w:val="21"/>
              </w:rPr>
            </w:pPr>
            <w:r>
              <w:rPr>
                <w:rFonts w:hint="eastAsia" w:ascii="宋体" w:hAnsi="宋体"/>
                <w:b/>
                <w:szCs w:val="21"/>
              </w:rPr>
              <w:t>承诺营运资金不少于2</w:t>
            </w:r>
            <w:r>
              <w:rPr>
                <w:rFonts w:ascii="宋体"/>
                <w:b/>
                <w:szCs w:val="21"/>
              </w:rPr>
              <w:t>00</w:t>
            </w:r>
            <w:r>
              <w:rPr>
                <w:rFonts w:hint="eastAsia" w:ascii="宋体" w:hAnsi="宋体"/>
                <w:b/>
                <w:szCs w:val="21"/>
              </w:rPr>
              <w:t>万元人民币（由投标人自行决定采用银行信贷证明或财务能力承诺书）。</w:t>
            </w:r>
          </w:p>
          <w:p>
            <w:pPr>
              <w:spacing w:line="360" w:lineRule="auto"/>
              <w:ind w:left="420" w:leftChars="200" w:right="420" w:rightChars="200" w:firstLine="422" w:firstLineChars="200"/>
              <w:rPr>
                <w:rFonts w:ascii="宋体"/>
                <w:b/>
                <w:szCs w:val="21"/>
              </w:rPr>
            </w:pPr>
            <w:r>
              <w:rPr>
                <w:rFonts w:hint="eastAsia" w:ascii="宋体" w:hAnsi="宋体"/>
                <w:b/>
                <w:szCs w:val="21"/>
              </w:rPr>
              <w:t>若采用银行信贷证明，开具银行信贷证明的银行级别：</w:t>
            </w:r>
            <w:r>
              <w:rPr>
                <w:rFonts w:ascii="宋体" w:hAnsi="宋体"/>
                <w:b/>
                <w:szCs w:val="21"/>
                <w:u w:val="single"/>
              </w:rPr>
              <w:t xml:space="preserve"> </w:t>
            </w:r>
            <w:r>
              <w:rPr>
                <w:rFonts w:hint="eastAsia" w:ascii="宋体" w:hAnsi="宋体"/>
                <w:b/>
                <w:szCs w:val="21"/>
                <w:u w:val="single"/>
              </w:rPr>
              <w:t>国有或股份制商业银行县（区、市）级及以上银行</w:t>
            </w:r>
            <w:r>
              <w:rPr>
                <w:rFonts w:ascii="宋体" w:hAnsi="宋体"/>
                <w:b/>
                <w:szCs w:val="21"/>
                <w:u w:val="single"/>
              </w:rPr>
              <w:t xml:space="preserve"> </w:t>
            </w:r>
            <w:r>
              <w:rPr>
                <w:rFonts w:hint="eastAsia" w:ascii="宋体" w:hAnsi="宋体"/>
                <w:b/>
                <w:szCs w:val="21"/>
              </w:rPr>
              <w:t>。</w:t>
            </w:r>
          </w:p>
        </w:tc>
      </w:tr>
    </w:tbl>
    <w:p>
      <w:pPr>
        <w:rPr>
          <w:rFonts w:ascii="宋体"/>
          <w:b/>
        </w:rPr>
        <w:sectPr>
          <w:pgSz w:w="11906" w:h="16838"/>
          <w:pgMar w:top="1474" w:right="1418" w:bottom="1361" w:left="1418" w:header="964" w:footer="992" w:gutter="0"/>
          <w:cols w:space="720" w:num="1"/>
          <w:docGrid w:type="lines" w:linePitch="312" w:charSpace="0"/>
        </w:sectPr>
      </w:pPr>
    </w:p>
    <w:p>
      <w:pPr>
        <w:pStyle w:val="2"/>
        <w:spacing w:before="0" w:after="240" w:line="240" w:lineRule="auto"/>
        <w:jc w:val="center"/>
        <w:rPr>
          <w:rFonts w:ascii="黑体" w:hAnsi="黑体" w:eastAsia="黑体"/>
        </w:rPr>
      </w:pPr>
      <w:bookmarkStart w:id="8" w:name="_Toc233423170"/>
      <w:bookmarkStart w:id="9" w:name="_Toc21525"/>
      <w:bookmarkStart w:id="10" w:name="_Toc233429680"/>
      <w:bookmarkStart w:id="11" w:name="_Toc363291637"/>
      <w:bookmarkStart w:id="12" w:name="_Toc241637399"/>
      <w:bookmarkStart w:id="13" w:name="_Toc30988"/>
      <w:bookmarkStart w:id="14" w:name="_Toc233435897"/>
      <w:r>
        <w:rPr>
          <w:rFonts w:hint="eastAsia" w:ascii="黑体" w:hAnsi="黑体" w:eastAsia="黑体"/>
        </w:rPr>
        <w:t>附录</w:t>
      </w:r>
      <w:r>
        <w:rPr>
          <w:rFonts w:ascii="黑体" w:hAnsi="黑体" w:eastAsia="黑体"/>
        </w:rPr>
        <w:t xml:space="preserve">3  </w:t>
      </w:r>
      <w:r>
        <w:rPr>
          <w:rFonts w:hint="eastAsia" w:ascii="黑体" w:hAnsi="黑体" w:eastAsia="黑体"/>
        </w:rPr>
        <w:t>资格审查条件（业绩最低要求）</w:t>
      </w:r>
      <w:bookmarkEnd w:id="8"/>
      <w:bookmarkEnd w:id="9"/>
      <w:bookmarkEnd w:id="10"/>
      <w:bookmarkEnd w:id="11"/>
      <w:bookmarkEnd w:id="12"/>
      <w:bookmarkEnd w:id="13"/>
      <w:bookmarkEnd w:id="14"/>
    </w:p>
    <w:tbl>
      <w:tblPr>
        <w:tblStyle w:val="5"/>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74"/>
        <w:gridCol w:w="79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1174" w:type="dxa"/>
            <w:tcBorders>
              <w:top w:val="single" w:color="auto" w:sz="12" w:space="0"/>
            </w:tcBorders>
            <w:noWrap w:val="0"/>
            <w:vAlign w:val="center"/>
          </w:tcPr>
          <w:p>
            <w:pPr>
              <w:spacing w:before="156" w:beforeLines="50" w:after="156" w:afterLines="50" w:line="420" w:lineRule="exact"/>
              <w:jc w:val="center"/>
              <w:rPr>
                <w:rFonts w:ascii="宋体"/>
                <w:b/>
              </w:rPr>
            </w:pPr>
            <w:r>
              <w:rPr>
                <w:rFonts w:hint="eastAsia" w:ascii="宋体" w:hAnsi="宋体"/>
                <w:b/>
              </w:rPr>
              <w:t>标段号</w:t>
            </w:r>
          </w:p>
        </w:tc>
        <w:tc>
          <w:tcPr>
            <w:tcW w:w="7950" w:type="dxa"/>
            <w:tcBorders>
              <w:top w:val="single" w:color="auto" w:sz="12" w:space="0"/>
            </w:tcBorders>
            <w:noWrap w:val="0"/>
            <w:vAlign w:val="center"/>
          </w:tcPr>
          <w:p>
            <w:pPr>
              <w:spacing w:before="156" w:beforeLines="50" w:after="156" w:afterLines="50" w:line="420" w:lineRule="exact"/>
              <w:jc w:val="center"/>
              <w:rPr>
                <w:rFonts w:ascii="宋体"/>
                <w:b/>
              </w:rPr>
            </w:pPr>
            <w:r>
              <w:rPr>
                <w:rFonts w:hint="eastAsia" w:ascii="宋体" w:hAnsi="宋体"/>
                <w:b/>
              </w:rPr>
              <w:t>业</w:t>
            </w:r>
            <w:r>
              <w:rPr>
                <w:rFonts w:ascii="宋体" w:hAnsi="宋体"/>
                <w:b/>
              </w:rPr>
              <w:t xml:space="preserve"> </w:t>
            </w:r>
            <w:r>
              <w:rPr>
                <w:rFonts w:hint="eastAsia" w:ascii="宋体" w:hAnsi="宋体"/>
                <w:b/>
              </w:rPr>
              <w:t>绩</w:t>
            </w:r>
            <w:r>
              <w:rPr>
                <w:rFonts w:ascii="宋体" w:hAnsi="宋体"/>
                <w:b/>
              </w:rPr>
              <w:t xml:space="preserve"> </w:t>
            </w:r>
            <w:r>
              <w:rPr>
                <w:rFonts w:hint="eastAsia" w:ascii="宋体" w:hAnsi="宋体"/>
                <w:b/>
              </w:rPr>
              <w:t>要</w:t>
            </w:r>
            <w:r>
              <w:rPr>
                <w:rFonts w:ascii="宋体" w:hAnsi="宋体"/>
                <w:b/>
              </w:rPr>
              <w:t xml:space="preserve"> </w:t>
            </w:r>
            <w:r>
              <w:rPr>
                <w:rFonts w:hint="eastAsia" w:ascii="宋体" w:hAnsi="宋体"/>
                <w:b/>
              </w:rPr>
              <w:t>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64" w:hRule="atLeast"/>
        </w:trPr>
        <w:tc>
          <w:tcPr>
            <w:tcW w:w="1174" w:type="dxa"/>
            <w:tcBorders>
              <w:bottom w:val="single" w:color="auto" w:sz="12" w:space="0"/>
            </w:tcBorders>
            <w:noWrap w:val="0"/>
            <w:vAlign w:val="top"/>
          </w:tcPr>
          <w:p>
            <w:pPr>
              <w:rPr>
                <w:rFonts w:ascii="宋体"/>
                <w:b/>
                <w:szCs w:val="21"/>
              </w:rPr>
            </w:pPr>
          </w:p>
          <w:p>
            <w:pPr>
              <w:spacing w:line="360" w:lineRule="auto"/>
              <w:ind w:left="420" w:leftChars="200" w:right="420" w:rightChars="200" w:firstLine="422" w:firstLineChars="200"/>
              <w:rPr>
                <w:rFonts w:ascii="宋体"/>
                <w:b/>
                <w:szCs w:val="21"/>
              </w:rPr>
            </w:pPr>
          </w:p>
          <w:p>
            <w:pPr>
              <w:spacing w:line="360" w:lineRule="auto"/>
              <w:ind w:left="420" w:leftChars="200" w:right="420" w:rightChars="200" w:firstLine="422" w:firstLineChars="200"/>
              <w:rPr>
                <w:rFonts w:ascii="宋体"/>
                <w:b/>
                <w:szCs w:val="21"/>
              </w:rPr>
            </w:pPr>
          </w:p>
          <w:p>
            <w:pPr>
              <w:spacing w:line="400" w:lineRule="exact"/>
              <w:jc w:val="center"/>
              <w:rPr>
                <w:rFonts w:ascii="宋体"/>
                <w:b/>
                <w:szCs w:val="21"/>
              </w:rPr>
            </w:pPr>
            <w:r>
              <w:rPr>
                <w:rFonts w:hint="eastAsia" w:ascii="宋体" w:hAnsi="宋体"/>
                <w:b/>
                <w:szCs w:val="21"/>
              </w:rPr>
              <w:t>施工标段</w:t>
            </w:r>
          </w:p>
        </w:tc>
        <w:tc>
          <w:tcPr>
            <w:tcW w:w="7950" w:type="dxa"/>
            <w:tcBorders>
              <w:bottom w:val="single" w:color="auto" w:sz="12" w:space="0"/>
            </w:tcBorders>
            <w:noWrap w:val="0"/>
            <w:vAlign w:val="top"/>
          </w:tcPr>
          <w:p>
            <w:pPr>
              <w:spacing w:line="360" w:lineRule="auto"/>
              <w:ind w:right="420" w:rightChars="200"/>
              <w:rPr>
                <w:rFonts w:ascii="宋体"/>
                <w:b/>
                <w:szCs w:val="21"/>
              </w:rPr>
            </w:pPr>
            <w:r>
              <w:rPr>
                <w:rFonts w:hint="eastAsia" w:ascii="宋体" w:hAnsi="宋体"/>
                <w:b/>
                <w:szCs w:val="21"/>
              </w:rPr>
              <w:t>自2016年7月1日（以实际交工日期为准）以来成功完成过至少一个合格的</w:t>
            </w:r>
            <w:r>
              <w:rPr>
                <w:rFonts w:ascii="宋体" w:hAnsi="宋体"/>
                <w:b/>
                <w:szCs w:val="21"/>
              </w:rPr>
              <w:t>10</w:t>
            </w:r>
            <w:r>
              <w:rPr>
                <w:rFonts w:hint="eastAsia" w:ascii="宋体" w:hAnsi="宋体"/>
                <w:b/>
                <w:szCs w:val="21"/>
              </w:rPr>
              <w:t>000平方米及以上的新（改建）港口联锁块堆场工程的施工。</w:t>
            </w:r>
          </w:p>
        </w:tc>
      </w:tr>
    </w:tbl>
    <w:p>
      <w:pPr>
        <w:spacing w:line="270" w:lineRule="exact"/>
        <w:ind w:firstLine="422" w:firstLineChars="200"/>
        <w:rPr>
          <w:rFonts w:hint="eastAsia" w:ascii="宋体" w:hAnsi="宋体"/>
          <w:b/>
          <w:szCs w:val="21"/>
        </w:rPr>
      </w:pPr>
      <w:r>
        <w:rPr>
          <w:rFonts w:hint="eastAsia"/>
          <w:b/>
        </w:rPr>
        <w:t>注：1、</w:t>
      </w:r>
      <w:r>
        <w:rPr>
          <w:b/>
        </w:rPr>
        <w:t>投标人应在</w:t>
      </w:r>
      <w:r>
        <w:rPr>
          <w:rFonts w:hint="eastAsia"/>
          <w:b/>
        </w:rPr>
        <w:t>“</w:t>
      </w:r>
      <w:r>
        <w:rPr>
          <w:b/>
        </w:rPr>
        <w:t>第八章</w:t>
      </w:r>
      <w:r>
        <w:rPr>
          <w:rFonts w:hint="eastAsia"/>
          <w:b/>
        </w:rPr>
        <w:t xml:space="preserve"> 投</w:t>
      </w:r>
      <w:r>
        <w:rPr>
          <w:b/>
        </w:rPr>
        <w:t>标文件格式</w:t>
      </w:r>
      <w:r>
        <w:rPr>
          <w:rFonts w:hint="eastAsia"/>
          <w:b/>
        </w:rPr>
        <w:t>”</w:t>
      </w:r>
      <w:r>
        <w:rPr>
          <w:b/>
        </w:rPr>
        <w:t>的</w:t>
      </w:r>
      <w:r>
        <w:rPr>
          <w:rFonts w:hint="eastAsia"/>
          <w:b/>
        </w:rPr>
        <w:t>“近年完成的主要类似项目情况表”后附</w:t>
      </w:r>
      <w:r>
        <w:rPr>
          <w:rFonts w:hint="eastAsia" w:ascii="宋体" w:hAnsi="宋体"/>
          <w:b/>
          <w:szCs w:val="21"/>
        </w:rPr>
        <w:t>中标通知书复印件或合同协议书复印件或质量证明文件（由发包人出具的水运工程（标段）交工验收证书或竣工验收委员会出具的水运工程竣工验收鉴定书</w:t>
      </w:r>
      <w:r>
        <w:rPr>
          <w:rFonts w:hint="eastAsia" w:ascii="宋体" w:hAnsi="宋体"/>
          <w:b/>
        </w:rPr>
        <w:t>或质量监督机构对各参建单位签发的工作综合评价等级证书或交通建设工程交（竣）工质量评定备案管理表</w:t>
      </w:r>
      <w:r>
        <w:rPr>
          <w:rFonts w:hint="eastAsia" w:ascii="宋体" w:hAnsi="宋体"/>
          <w:b/>
          <w:szCs w:val="21"/>
        </w:rPr>
        <w:t>）的复印件。每张表格只填写一个项目，并标明序号。</w:t>
      </w:r>
    </w:p>
    <w:p>
      <w:pPr>
        <w:spacing w:line="270" w:lineRule="exact"/>
        <w:ind w:firstLine="422" w:firstLineChars="200"/>
        <w:rPr>
          <w:rFonts w:hint="eastAsia" w:ascii="宋体" w:hAnsi="宋体"/>
          <w:b/>
          <w:szCs w:val="21"/>
        </w:rPr>
      </w:pPr>
      <w:r>
        <w:rPr>
          <w:rFonts w:hint="eastAsia" w:ascii="宋体" w:hAnsi="宋体"/>
          <w:b/>
          <w:szCs w:val="21"/>
        </w:rPr>
        <w:t>上述资料中的施工单位名称与投标人名称必须一致（施工单位名称发生合法变更的除外，但需提供合法变更的有效文件）否则业绩不予认可。</w:t>
      </w:r>
    </w:p>
    <w:p>
      <w:pPr>
        <w:spacing w:line="270" w:lineRule="exact"/>
        <w:ind w:firstLine="422" w:firstLineChars="200"/>
        <w:rPr>
          <w:rFonts w:hint="eastAsia" w:ascii="宋体" w:hAnsi="宋体"/>
          <w:b/>
          <w:szCs w:val="21"/>
        </w:rPr>
      </w:pPr>
      <w:r>
        <w:rPr>
          <w:rFonts w:hint="eastAsia" w:ascii="宋体" w:hAnsi="宋体"/>
          <w:b/>
          <w:szCs w:val="21"/>
        </w:rPr>
        <w:t>如上述资料中均未体现工程规模、技术标准、主要工程内容的，必须附发包人</w:t>
      </w:r>
      <w:r>
        <w:rPr>
          <w:rFonts w:hint="eastAsia"/>
          <w:b/>
        </w:rPr>
        <w:t>或项目质量监督部门或项目所在地设区市行业主管部门</w:t>
      </w:r>
      <w:r>
        <w:rPr>
          <w:rFonts w:hint="eastAsia" w:ascii="宋体" w:hAnsi="宋体"/>
          <w:b/>
          <w:szCs w:val="21"/>
        </w:rPr>
        <w:t>出具的证明材料，否则业绩不予认可。</w:t>
      </w:r>
    </w:p>
    <w:p>
      <w:pPr>
        <w:spacing w:line="320" w:lineRule="exact"/>
        <w:ind w:firstLine="422" w:firstLineChars="200"/>
        <w:rPr>
          <w:rFonts w:hint="eastAsia"/>
          <w:b/>
        </w:rPr>
      </w:pPr>
      <w:r>
        <w:rPr>
          <w:rFonts w:hint="eastAsia"/>
          <w:b/>
        </w:rPr>
        <w:t>2、投标人业绩已在“浙江省交通运输厅建设市场诚信信息系统”中公开的，可在“诚信系统信息表”后提供“浙江省交通运输厅建设市场诚信信息系统”中已公开的含有系统水印的类似项目的《主要业绩信息一览表》打印件。未提供《主要业绩信息一览表》打印件的，或者提供的打印件《与浙江交通网公开发布的内容不一致的，评标时“已完业绩信息公开“项不得分。</w:t>
      </w:r>
    </w:p>
    <w:p>
      <w:pPr>
        <w:ind w:firstLine="422" w:firstLineChars="200"/>
        <w:rPr>
          <w:rFonts w:hint="eastAsia"/>
          <w:b/>
        </w:rPr>
      </w:pPr>
      <w:r>
        <w:rPr>
          <w:rFonts w:hint="eastAsia" w:ascii="宋体" w:hAnsi="宋体"/>
          <w:b/>
        </w:rPr>
        <w:t>投标人在</w:t>
      </w:r>
      <w:r>
        <w:rPr>
          <w:rFonts w:hint="eastAsia"/>
          <w:b/>
        </w:rPr>
        <w:t>“浙江省交通运输厅建设市场诚信信息系统”中的业绩是否公开以及《主要业绩信息一览表》的认定和核实，以投标截止时间为准。</w:t>
      </w:r>
    </w:p>
    <w:p>
      <w:pPr>
        <w:ind w:firstLine="422" w:firstLineChars="200"/>
        <w:rPr>
          <w:rFonts w:hint="eastAsia" w:ascii="宋体" w:hAnsi="宋体"/>
          <w:b/>
        </w:rPr>
        <w:sectPr>
          <w:footerReference r:id="rId9" w:type="default"/>
          <w:footerReference r:id="rId10" w:type="even"/>
          <w:pgSz w:w="11906" w:h="16838"/>
          <w:pgMar w:top="1474" w:right="1418" w:bottom="1361" w:left="1418" w:header="964" w:footer="992" w:gutter="0"/>
          <w:cols w:space="720" w:num="1"/>
          <w:docGrid w:type="lines" w:linePitch="312" w:charSpace="0"/>
        </w:sectPr>
      </w:pPr>
    </w:p>
    <w:p>
      <w:pPr>
        <w:pStyle w:val="2"/>
        <w:spacing w:before="0" w:after="240" w:line="240" w:lineRule="auto"/>
        <w:jc w:val="center"/>
        <w:rPr>
          <w:rFonts w:ascii="黑体" w:hAnsi="黑体" w:eastAsia="黑体"/>
        </w:rPr>
      </w:pPr>
      <w:bookmarkStart w:id="15" w:name="_Toc21061"/>
      <w:bookmarkStart w:id="16" w:name="_Toc233429681"/>
      <w:bookmarkStart w:id="17" w:name="_Toc233435898"/>
      <w:bookmarkStart w:id="18" w:name="_Toc634"/>
      <w:bookmarkStart w:id="19" w:name="_Toc363291638"/>
      <w:bookmarkStart w:id="20" w:name="_Toc241637400"/>
      <w:bookmarkStart w:id="21" w:name="_Toc233423171"/>
      <w:r>
        <w:rPr>
          <w:rFonts w:hint="eastAsia" w:ascii="黑体" w:hAnsi="黑体" w:eastAsia="黑体"/>
        </w:rPr>
        <w:t>附录</w:t>
      </w:r>
      <w:r>
        <w:rPr>
          <w:rFonts w:ascii="黑体" w:hAnsi="黑体" w:eastAsia="黑体"/>
        </w:rPr>
        <w:t xml:space="preserve">4  </w:t>
      </w:r>
      <w:r>
        <w:rPr>
          <w:rFonts w:hint="eastAsia" w:ascii="黑体" w:hAnsi="黑体" w:eastAsia="黑体"/>
        </w:rPr>
        <w:t>资格审查条件（信誉最低要求）</w:t>
      </w:r>
      <w:bookmarkEnd w:id="15"/>
      <w:bookmarkEnd w:id="16"/>
      <w:bookmarkEnd w:id="17"/>
      <w:bookmarkEnd w:id="18"/>
      <w:bookmarkEnd w:id="19"/>
      <w:bookmarkEnd w:id="20"/>
      <w:bookmarkEnd w:id="21"/>
    </w:p>
    <w:p>
      <w:pPr>
        <w:adjustRightInd w:val="0"/>
        <w:snapToGrid w:val="0"/>
        <w:spacing w:line="300" w:lineRule="auto"/>
        <w:jc w:val="center"/>
        <w:rPr>
          <w:rFonts w:eastAsia="黑体"/>
          <w:b/>
          <w:sz w:val="28"/>
          <w:szCs w:val="28"/>
        </w:rPr>
      </w:pPr>
      <w:bookmarkStart w:id="22" w:name="_Toc16845"/>
      <w:bookmarkStart w:id="23" w:name="_Toc22728"/>
      <w:bookmarkStart w:id="24" w:name="_Toc233423172"/>
      <w:bookmarkStart w:id="25" w:name="_Toc233435899"/>
      <w:bookmarkStart w:id="26" w:name="_Toc241637401"/>
      <w:bookmarkStart w:id="27" w:name="_Toc233429682"/>
    </w:p>
    <w:tbl>
      <w:tblPr>
        <w:tblStyle w:val="5"/>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878"/>
        <w:gridCol w:w="7007"/>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76" w:hRule="atLeast"/>
          <w:jc w:val="center"/>
        </w:trPr>
        <w:tc>
          <w:tcPr>
            <w:tcW w:w="1878" w:type="dxa"/>
            <w:tcBorders>
              <w:top w:val="single" w:color="auto" w:sz="12" w:space="0"/>
            </w:tcBorders>
            <w:noWrap w:val="0"/>
            <w:vAlign w:val="center"/>
          </w:tcPr>
          <w:p>
            <w:pPr>
              <w:adjustRightInd w:val="0"/>
              <w:snapToGrid w:val="0"/>
              <w:spacing w:line="400" w:lineRule="atLeast"/>
              <w:jc w:val="center"/>
              <w:rPr>
                <w:b/>
                <w:sz w:val="24"/>
              </w:rPr>
            </w:pPr>
            <w:r>
              <w:rPr>
                <w:rFonts w:hint="eastAsia"/>
                <w:b/>
                <w:sz w:val="24"/>
              </w:rPr>
              <w:t>标段</w:t>
            </w:r>
          </w:p>
        </w:tc>
        <w:tc>
          <w:tcPr>
            <w:tcW w:w="7007" w:type="dxa"/>
            <w:tcBorders>
              <w:top w:val="single" w:color="auto" w:sz="12" w:space="0"/>
            </w:tcBorders>
            <w:noWrap w:val="0"/>
            <w:vAlign w:val="center"/>
          </w:tcPr>
          <w:p>
            <w:pPr>
              <w:adjustRightInd w:val="0"/>
              <w:snapToGrid w:val="0"/>
              <w:spacing w:line="400" w:lineRule="atLeast"/>
              <w:jc w:val="center"/>
              <w:rPr>
                <w:b/>
                <w:sz w:val="24"/>
              </w:rPr>
            </w:pPr>
            <w:r>
              <w:rPr>
                <w:rFonts w:hint="eastAsia"/>
                <w:b/>
                <w:sz w:val="24"/>
              </w:rPr>
              <w:t>信</w:t>
            </w:r>
            <w:r>
              <w:rPr>
                <w:b/>
                <w:sz w:val="24"/>
              </w:rPr>
              <w:t xml:space="preserve"> </w:t>
            </w:r>
            <w:r>
              <w:rPr>
                <w:rFonts w:hint="eastAsia"/>
                <w:b/>
                <w:sz w:val="24"/>
              </w:rPr>
              <w:t>誉</w:t>
            </w:r>
            <w:r>
              <w:rPr>
                <w:b/>
                <w:sz w:val="24"/>
              </w:rPr>
              <w:t xml:space="preserve"> </w:t>
            </w:r>
            <w:r>
              <w:rPr>
                <w:rFonts w:hint="eastAsia"/>
                <w:b/>
                <w:sz w:val="24"/>
              </w:rPr>
              <w:t>要</w:t>
            </w:r>
            <w:r>
              <w:rPr>
                <w:b/>
                <w:sz w:val="24"/>
              </w:rPr>
              <w:t xml:space="preserve"> </w:t>
            </w:r>
            <w:r>
              <w:rPr>
                <w:rFonts w:hint="eastAsia"/>
                <w:b/>
                <w:sz w:val="24"/>
              </w:rPr>
              <w:t>求</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100" w:hRule="atLeast"/>
          <w:jc w:val="center"/>
        </w:trPr>
        <w:tc>
          <w:tcPr>
            <w:tcW w:w="1878" w:type="dxa"/>
            <w:tcBorders>
              <w:bottom w:val="single" w:color="auto" w:sz="12" w:space="0"/>
            </w:tcBorders>
            <w:noWrap w:val="0"/>
            <w:vAlign w:val="center"/>
          </w:tcPr>
          <w:p>
            <w:pPr>
              <w:jc w:val="center"/>
              <w:rPr>
                <w:rFonts w:ascii="宋体"/>
                <w:b/>
                <w:sz w:val="24"/>
              </w:rPr>
            </w:pPr>
            <w:r>
              <w:rPr>
                <w:rFonts w:hint="eastAsia" w:ascii="宋体" w:hAnsi="宋体"/>
                <w:b/>
                <w:sz w:val="24"/>
              </w:rPr>
              <w:t>施工</w:t>
            </w:r>
          </w:p>
          <w:p>
            <w:pPr>
              <w:jc w:val="center"/>
              <w:rPr>
                <w:rFonts w:ascii="宋体"/>
                <w:b/>
                <w:sz w:val="24"/>
              </w:rPr>
            </w:pPr>
            <w:r>
              <w:rPr>
                <w:rFonts w:hint="eastAsia" w:ascii="宋体" w:hAnsi="宋体"/>
                <w:b/>
                <w:sz w:val="24"/>
              </w:rPr>
              <w:t>标段</w:t>
            </w:r>
          </w:p>
        </w:tc>
        <w:tc>
          <w:tcPr>
            <w:tcW w:w="7007" w:type="dxa"/>
            <w:tcBorders>
              <w:bottom w:val="single" w:color="auto" w:sz="12" w:space="0"/>
            </w:tcBorders>
            <w:noWrap w:val="0"/>
            <w:vAlign w:val="center"/>
          </w:tcPr>
          <w:p>
            <w:pPr>
              <w:spacing w:line="360" w:lineRule="auto"/>
              <w:ind w:firstLine="422" w:firstLineChars="200"/>
              <w:rPr>
                <w:rFonts w:hint="eastAsia" w:ascii="宋体" w:hAnsi="宋体"/>
                <w:b/>
                <w:szCs w:val="21"/>
              </w:rPr>
            </w:pPr>
            <w:r>
              <w:rPr>
                <w:rFonts w:hint="eastAsia" w:ascii="宋体" w:hAnsi="宋体"/>
                <w:b/>
                <w:szCs w:val="21"/>
              </w:rPr>
              <w:t>1、不存在投标人须知第1.4.3项的情形。</w:t>
            </w:r>
          </w:p>
          <w:p>
            <w:pPr>
              <w:spacing w:line="360" w:lineRule="auto"/>
              <w:ind w:firstLine="422" w:firstLineChars="200"/>
              <w:rPr>
                <w:rFonts w:hint="eastAsia" w:ascii="宋体" w:hAnsi="宋体"/>
                <w:b/>
                <w:szCs w:val="21"/>
              </w:rPr>
            </w:pPr>
            <w:r>
              <w:rPr>
                <w:rFonts w:hint="eastAsia" w:ascii="宋体" w:hAnsi="宋体"/>
                <w:b/>
                <w:szCs w:val="21"/>
              </w:rPr>
              <w:t>2、自2018年7月1日以来，投标人无行贿犯罪行为。</w:t>
            </w:r>
          </w:p>
          <w:p>
            <w:pPr>
              <w:spacing w:line="360" w:lineRule="auto"/>
              <w:ind w:firstLine="422" w:firstLineChars="200"/>
              <w:rPr>
                <w:rFonts w:ascii="宋体"/>
                <w:b/>
                <w:sz w:val="24"/>
              </w:rPr>
            </w:pPr>
            <w:r>
              <w:rPr>
                <w:rFonts w:hint="eastAsia" w:ascii="宋体" w:hAnsi="宋体"/>
                <w:b/>
                <w:szCs w:val="21"/>
              </w:rPr>
              <w:t>3、浙江省交通运输厅最新1年公布的投标人信用等级未被评为D级；或者无浙江省交通运输厅最新1年公布信用等级时，交通运输部最新1年公布的投标人信用等级未被评为D级。</w:t>
            </w:r>
          </w:p>
        </w:tc>
      </w:tr>
    </w:tbl>
    <w:p>
      <w:pPr>
        <w:spacing w:line="400" w:lineRule="exact"/>
        <w:rPr>
          <w:rFonts w:hint="eastAsia" w:ascii="宋体" w:hAnsi="宋体"/>
          <w:b/>
          <w:i/>
        </w:rPr>
      </w:pPr>
      <w:r>
        <w:rPr>
          <w:rFonts w:hint="eastAsia" w:ascii="宋体" w:hAnsi="宋体"/>
          <w:b/>
          <w:szCs w:val="21"/>
        </w:rPr>
        <w:t>注：投标人有行贿犯罪行为的认定以中国裁判文书网的行贿受贿犯罪档案查询结果为准。（</w:t>
      </w:r>
      <w:r>
        <w:rPr>
          <w:rFonts w:ascii="宋体" w:hAnsi="宋体"/>
          <w:b/>
          <w:szCs w:val="21"/>
        </w:rPr>
        <w:t>投标人无须提供，由招标人</w:t>
      </w:r>
      <w:r>
        <w:rPr>
          <w:rFonts w:hint="eastAsia" w:ascii="宋体" w:hAnsi="宋体"/>
          <w:b/>
          <w:szCs w:val="21"/>
        </w:rPr>
        <w:t>在公示期间对公示的推荐中标候选人通过中国裁判文书网进行行贿犯罪查询）</w:t>
      </w:r>
      <w:r>
        <w:rPr>
          <w:rFonts w:ascii="宋体" w:hAnsi="宋体"/>
          <w:b/>
          <w:szCs w:val="21"/>
        </w:rPr>
        <w:t>。</w:t>
      </w:r>
    </w:p>
    <w:p>
      <w:pPr>
        <w:spacing w:line="400" w:lineRule="exact"/>
        <w:rPr>
          <w:rFonts w:hint="eastAsia" w:ascii="宋体" w:hAns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hint="eastAsia" w:ascii="宋体"/>
          <w:b/>
        </w:rPr>
      </w:pPr>
    </w:p>
    <w:p>
      <w:pPr>
        <w:spacing w:line="400" w:lineRule="exact"/>
        <w:rPr>
          <w:rFonts w:ascii="宋体"/>
          <w:b/>
        </w:rPr>
      </w:pPr>
    </w:p>
    <w:p>
      <w:pPr>
        <w:pStyle w:val="2"/>
        <w:spacing w:before="0" w:after="240" w:line="240" w:lineRule="auto"/>
        <w:jc w:val="left"/>
        <w:rPr>
          <w:rFonts w:hint="eastAsia" w:ascii="黑体" w:hAnsi="黑体" w:eastAsia="黑体"/>
        </w:rPr>
      </w:pPr>
      <w:bookmarkStart w:id="28" w:name="_Toc363291639"/>
      <w:r>
        <w:rPr>
          <w:rFonts w:hint="eastAsia" w:ascii="黑体" w:hAnsi="黑体" w:eastAsia="黑体"/>
        </w:rPr>
        <w:t>附录</w:t>
      </w:r>
      <w:r>
        <w:rPr>
          <w:rFonts w:ascii="黑体" w:hAnsi="黑体" w:eastAsia="黑体"/>
        </w:rPr>
        <w:t xml:space="preserve">5  </w:t>
      </w:r>
      <w:r>
        <w:rPr>
          <w:rFonts w:hint="eastAsia" w:ascii="黑体" w:hAnsi="黑体" w:eastAsia="黑体"/>
        </w:rPr>
        <w:t>资格审查条件</w:t>
      </w:r>
    </w:p>
    <w:p>
      <w:pPr>
        <w:pStyle w:val="2"/>
        <w:spacing w:before="0" w:after="240" w:line="240" w:lineRule="auto"/>
        <w:jc w:val="center"/>
        <w:rPr>
          <w:rFonts w:hint="eastAsia" w:ascii="黑体" w:hAnsi="黑体" w:eastAsia="黑体"/>
        </w:rPr>
      </w:pPr>
      <w:r>
        <w:rPr>
          <w:rFonts w:hint="eastAsia" w:ascii="黑体" w:hAnsi="黑体" w:eastAsia="黑体"/>
        </w:rPr>
        <w:t>（项目经理、项目技术负责人最低要求）</w:t>
      </w:r>
      <w:bookmarkEnd w:id="22"/>
      <w:bookmarkEnd w:id="23"/>
      <w:bookmarkEnd w:id="24"/>
      <w:bookmarkEnd w:id="25"/>
      <w:bookmarkEnd w:id="26"/>
      <w:bookmarkEnd w:id="27"/>
      <w:bookmarkEnd w:id="28"/>
    </w:p>
    <w:tbl>
      <w:tblPr>
        <w:tblStyle w:val="5"/>
        <w:tblpPr w:leftFromText="180" w:rightFromText="180" w:vertAnchor="text" w:horzAnchor="margin" w:tblpY="1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92"/>
        <w:gridCol w:w="1224"/>
        <w:gridCol w:w="59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2092" w:type="dxa"/>
            <w:tcBorders>
              <w:top w:val="single" w:color="auto" w:sz="12" w:space="0"/>
              <w:right w:val="single" w:color="auto" w:sz="4" w:space="0"/>
            </w:tcBorders>
            <w:noWrap w:val="0"/>
            <w:vAlign w:val="center"/>
          </w:tcPr>
          <w:p>
            <w:pPr>
              <w:spacing w:before="156" w:beforeLines="50" w:after="156" w:afterLines="50" w:line="420" w:lineRule="exact"/>
              <w:jc w:val="center"/>
              <w:rPr>
                <w:rFonts w:ascii="宋体"/>
                <w:b/>
              </w:rPr>
            </w:pPr>
            <w:r>
              <w:rPr>
                <w:rFonts w:hint="eastAsia" w:ascii="宋体" w:hAnsi="宋体"/>
                <w:b/>
              </w:rPr>
              <w:t>人</w:t>
            </w:r>
            <w:r>
              <w:rPr>
                <w:rFonts w:ascii="宋体" w:hAnsi="宋体"/>
                <w:b/>
              </w:rPr>
              <w:t xml:space="preserve"> </w:t>
            </w:r>
            <w:r>
              <w:rPr>
                <w:rFonts w:hint="eastAsia" w:ascii="宋体" w:hAnsi="宋体"/>
                <w:b/>
              </w:rPr>
              <w:t>员</w:t>
            </w:r>
          </w:p>
        </w:tc>
        <w:tc>
          <w:tcPr>
            <w:tcW w:w="1224" w:type="dxa"/>
            <w:tcBorders>
              <w:top w:val="single" w:color="auto" w:sz="12" w:space="0"/>
              <w:left w:val="single" w:color="auto" w:sz="4" w:space="0"/>
              <w:right w:val="single" w:color="auto" w:sz="4" w:space="0"/>
            </w:tcBorders>
            <w:noWrap w:val="0"/>
            <w:vAlign w:val="center"/>
          </w:tcPr>
          <w:p>
            <w:pPr>
              <w:spacing w:before="156" w:beforeLines="50" w:after="156" w:afterLines="50" w:line="420" w:lineRule="exact"/>
              <w:jc w:val="center"/>
              <w:rPr>
                <w:rFonts w:ascii="宋体"/>
                <w:b/>
              </w:rPr>
            </w:pPr>
            <w:r>
              <w:rPr>
                <w:rFonts w:hint="eastAsia" w:ascii="宋体" w:hAnsi="宋体"/>
                <w:b/>
              </w:rPr>
              <w:t>数</w:t>
            </w:r>
            <w:r>
              <w:rPr>
                <w:rFonts w:ascii="宋体" w:hAnsi="宋体"/>
                <w:b/>
              </w:rPr>
              <w:t xml:space="preserve"> </w:t>
            </w:r>
            <w:r>
              <w:rPr>
                <w:rFonts w:hint="eastAsia" w:ascii="宋体" w:hAnsi="宋体"/>
                <w:b/>
              </w:rPr>
              <w:t>量</w:t>
            </w:r>
          </w:p>
        </w:tc>
        <w:tc>
          <w:tcPr>
            <w:tcW w:w="5967" w:type="dxa"/>
            <w:tcBorders>
              <w:top w:val="single" w:color="auto" w:sz="12" w:space="0"/>
              <w:left w:val="single" w:color="auto" w:sz="4" w:space="0"/>
            </w:tcBorders>
            <w:noWrap w:val="0"/>
            <w:vAlign w:val="center"/>
          </w:tcPr>
          <w:p>
            <w:pPr>
              <w:spacing w:before="156" w:beforeLines="50" w:after="156" w:afterLines="50" w:line="420" w:lineRule="exact"/>
              <w:jc w:val="center"/>
              <w:rPr>
                <w:rFonts w:ascii="宋体"/>
                <w:b/>
              </w:rPr>
            </w:pPr>
            <w:r>
              <w:rPr>
                <w:rFonts w:hint="eastAsia" w:ascii="宋体" w:hAnsi="宋体"/>
                <w:b/>
              </w:rPr>
              <w:t>资</w:t>
            </w:r>
            <w:r>
              <w:rPr>
                <w:rFonts w:ascii="宋体" w:hAnsi="宋体"/>
                <w:b/>
              </w:rPr>
              <w:t xml:space="preserve"> </w:t>
            </w:r>
            <w:r>
              <w:rPr>
                <w:rFonts w:hint="eastAsia" w:ascii="宋体" w:hAnsi="宋体"/>
                <w:b/>
              </w:rPr>
              <w:t>格</w:t>
            </w:r>
            <w:r>
              <w:rPr>
                <w:rFonts w:ascii="宋体" w:hAnsi="宋体"/>
                <w:b/>
              </w:rPr>
              <w:t xml:space="preserve"> </w:t>
            </w:r>
            <w:r>
              <w:rPr>
                <w:rFonts w:hint="eastAsia" w:ascii="宋体" w:hAnsi="宋体"/>
                <w:b/>
              </w:rPr>
              <w:t>要</w:t>
            </w:r>
            <w:r>
              <w:rPr>
                <w:rFonts w:ascii="宋体" w:hAnsi="宋体"/>
                <w:b/>
              </w:rPr>
              <w:t xml:space="preserve"> </w:t>
            </w:r>
            <w:r>
              <w:rPr>
                <w:rFonts w:hint="eastAsia" w:ascii="宋体" w:hAnsi="宋体"/>
                <w:b/>
              </w:rPr>
              <w:t>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43" w:hRule="atLeast"/>
        </w:trPr>
        <w:tc>
          <w:tcPr>
            <w:tcW w:w="2092" w:type="dxa"/>
            <w:tcBorders>
              <w:bottom w:val="single" w:color="auto" w:sz="4" w:space="0"/>
              <w:right w:val="single" w:color="auto" w:sz="4" w:space="0"/>
            </w:tcBorders>
            <w:noWrap w:val="0"/>
            <w:vAlign w:val="center"/>
          </w:tcPr>
          <w:p>
            <w:pPr>
              <w:jc w:val="center"/>
              <w:rPr>
                <w:rFonts w:ascii="宋体"/>
                <w:b/>
                <w:szCs w:val="21"/>
              </w:rPr>
            </w:pPr>
            <w:r>
              <w:rPr>
                <w:rFonts w:hint="eastAsia" w:ascii="宋体" w:hAnsi="宋体"/>
                <w:b/>
                <w:szCs w:val="21"/>
              </w:rPr>
              <w:t>项目经理</w:t>
            </w:r>
          </w:p>
        </w:tc>
        <w:tc>
          <w:tcPr>
            <w:tcW w:w="1224" w:type="dxa"/>
            <w:tcBorders>
              <w:left w:val="single" w:color="auto" w:sz="4" w:space="0"/>
              <w:bottom w:val="single" w:color="auto" w:sz="4" w:space="0"/>
              <w:right w:val="single" w:color="auto" w:sz="4" w:space="0"/>
            </w:tcBorders>
            <w:noWrap w:val="0"/>
            <w:vAlign w:val="center"/>
          </w:tcPr>
          <w:p>
            <w:pPr>
              <w:jc w:val="center"/>
              <w:rPr>
                <w:rFonts w:ascii="宋体"/>
                <w:b/>
                <w:szCs w:val="21"/>
              </w:rPr>
            </w:pPr>
            <w:r>
              <w:rPr>
                <w:rFonts w:ascii="宋体" w:hAnsi="宋体"/>
                <w:b/>
                <w:szCs w:val="21"/>
              </w:rPr>
              <w:t>1</w:t>
            </w:r>
          </w:p>
        </w:tc>
        <w:tc>
          <w:tcPr>
            <w:tcW w:w="5967" w:type="dxa"/>
            <w:tcBorders>
              <w:left w:val="single" w:color="auto" w:sz="4" w:space="0"/>
            </w:tcBorders>
            <w:noWrap w:val="0"/>
            <w:vAlign w:val="center"/>
          </w:tcPr>
          <w:p>
            <w:pPr>
              <w:rPr>
                <w:rFonts w:ascii="宋体"/>
                <w:b/>
                <w:szCs w:val="21"/>
              </w:rPr>
            </w:pPr>
            <w:r>
              <w:rPr>
                <w:rFonts w:ascii="宋体" w:hAnsi="宋体"/>
                <w:b/>
                <w:szCs w:val="21"/>
              </w:rPr>
              <w:t>1</w:t>
            </w:r>
            <w:r>
              <w:rPr>
                <w:rFonts w:hint="eastAsia" w:ascii="宋体" w:hAnsi="宋体"/>
                <w:b/>
                <w:szCs w:val="21"/>
              </w:rPr>
              <w:t>、担任过水运工程的项目经理（或项目副经理或项目技术负责人），有港口与航道工程专业一级建造师注册证书（含住房和城乡建设部初始注册人员名单公告），工程师及以上技术职称，并有建筑施工企业项目负责人安全生产考核合格证书</w:t>
            </w:r>
            <w:r>
              <w:rPr>
                <w:rFonts w:ascii="宋体" w:hAnsi="宋体"/>
                <w:b/>
                <w:szCs w:val="21"/>
              </w:rPr>
              <w:t>B</w:t>
            </w:r>
            <w:r>
              <w:rPr>
                <w:rFonts w:hint="eastAsia" w:ascii="宋体" w:hAnsi="宋体"/>
                <w:b/>
                <w:szCs w:val="21"/>
              </w:rPr>
              <w:t>类。</w:t>
            </w:r>
          </w:p>
          <w:p>
            <w:pPr>
              <w:rPr>
                <w:rFonts w:ascii="宋体"/>
                <w:b/>
                <w:szCs w:val="21"/>
              </w:rPr>
            </w:pPr>
            <w:r>
              <w:rPr>
                <w:rFonts w:ascii="宋体" w:hAnsi="宋体"/>
                <w:b/>
                <w:szCs w:val="21"/>
              </w:rPr>
              <w:t>2</w:t>
            </w:r>
            <w:r>
              <w:rPr>
                <w:rFonts w:hint="eastAsia" w:ascii="宋体" w:hAnsi="宋体"/>
                <w:b/>
                <w:szCs w:val="21"/>
              </w:rPr>
              <w:t>、拟委任项目经理未在（或未曾在）在其他在建项目上任项目经理。</w:t>
            </w:r>
          </w:p>
          <w:p>
            <w:pPr>
              <w:rPr>
                <w:rFonts w:ascii="宋体"/>
                <w:b/>
                <w:szCs w:val="21"/>
              </w:rPr>
            </w:pPr>
            <w:r>
              <w:rPr>
                <w:rFonts w:ascii="宋体" w:hAnsi="宋体"/>
                <w:b/>
                <w:szCs w:val="21"/>
              </w:rPr>
              <w:t>3</w:t>
            </w:r>
            <w:r>
              <w:rPr>
                <w:rFonts w:hint="eastAsia" w:ascii="宋体" w:hAnsi="宋体"/>
                <w:b/>
                <w:szCs w:val="21"/>
              </w:rPr>
              <w:t>、</w:t>
            </w:r>
            <w:r>
              <w:rPr>
                <w:rFonts w:ascii="宋体" w:hAnsi="宋体"/>
                <w:b/>
                <w:szCs w:val="21"/>
              </w:rPr>
              <w:t>201</w:t>
            </w:r>
            <w:r>
              <w:rPr>
                <w:rFonts w:hint="eastAsia" w:ascii="宋体" w:hAnsi="宋体"/>
                <w:b/>
                <w:szCs w:val="21"/>
              </w:rPr>
              <w:t>8年7月</w:t>
            </w:r>
            <w:r>
              <w:rPr>
                <w:rFonts w:ascii="宋体" w:hAnsi="宋体"/>
                <w:b/>
                <w:szCs w:val="21"/>
              </w:rPr>
              <w:t>1</w:t>
            </w:r>
            <w:r>
              <w:rPr>
                <w:rFonts w:hint="eastAsia" w:ascii="宋体" w:hAnsi="宋体"/>
                <w:b/>
                <w:szCs w:val="21"/>
              </w:rPr>
              <w:t>日以来，拟委任的项目经理无行贿犯罪行为。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01" w:hRule="atLeast"/>
        </w:trPr>
        <w:tc>
          <w:tcPr>
            <w:tcW w:w="2092" w:type="dxa"/>
            <w:tcBorders>
              <w:top w:val="single" w:color="auto" w:sz="4" w:space="0"/>
              <w:bottom w:val="single" w:color="auto" w:sz="4" w:space="0"/>
              <w:right w:val="single" w:color="auto" w:sz="4" w:space="0"/>
            </w:tcBorders>
            <w:noWrap w:val="0"/>
            <w:vAlign w:val="center"/>
          </w:tcPr>
          <w:p>
            <w:pPr>
              <w:jc w:val="center"/>
              <w:rPr>
                <w:rFonts w:ascii="宋体"/>
                <w:b/>
                <w:szCs w:val="21"/>
              </w:rPr>
            </w:pPr>
            <w:r>
              <w:rPr>
                <w:rFonts w:hint="eastAsia" w:ascii="宋体" w:hAnsi="宋体"/>
                <w:b/>
                <w:szCs w:val="21"/>
              </w:rPr>
              <w:t>项目技术负责人</w:t>
            </w:r>
          </w:p>
        </w:tc>
        <w:tc>
          <w:tcPr>
            <w:tcW w:w="122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b/>
                <w:szCs w:val="21"/>
              </w:rPr>
            </w:pPr>
            <w:r>
              <w:rPr>
                <w:rFonts w:ascii="宋体" w:hAnsi="宋体"/>
                <w:b/>
                <w:szCs w:val="21"/>
              </w:rPr>
              <w:t>1</w:t>
            </w:r>
          </w:p>
        </w:tc>
        <w:tc>
          <w:tcPr>
            <w:tcW w:w="5967" w:type="dxa"/>
            <w:tcBorders>
              <w:top w:val="single" w:color="auto" w:sz="4" w:space="0"/>
              <w:left w:val="single" w:color="auto" w:sz="4" w:space="0"/>
              <w:bottom w:val="single" w:color="auto" w:sz="4" w:space="0"/>
            </w:tcBorders>
            <w:noWrap w:val="0"/>
            <w:vAlign w:val="center"/>
          </w:tcPr>
          <w:p>
            <w:pPr>
              <w:rPr>
                <w:rFonts w:ascii="宋体"/>
                <w:b/>
                <w:szCs w:val="21"/>
              </w:rPr>
            </w:pPr>
            <w:r>
              <w:rPr>
                <w:rFonts w:hint="eastAsia" w:ascii="宋体" w:hAnsi="宋体"/>
                <w:b/>
                <w:szCs w:val="21"/>
              </w:rPr>
              <w:t>担任过水运工程的项目技术负责人（或项目经理或项目副经理），有高级工程师及以上技术职称，并有建筑施工企业项目负责人安全生产考核合格证书</w:t>
            </w:r>
            <w:r>
              <w:rPr>
                <w:rFonts w:ascii="宋体" w:hAnsi="宋体"/>
                <w:b/>
                <w:szCs w:val="21"/>
              </w:rPr>
              <w:t>B</w:t>
            </w:r>
            <w:r>
              <w:rPr>
                <w:rFonts w:hint="eastAsia" w:ascii="宋体" w:hAnsi="宋体"/>
                <w:b/>
                <w:szCs w:val="21"/>
              </w:rPr>
              <w:t>类。</w:t>
            </w:r>
          </w:p>
        </w:tc>
      </w:tr>
    </w:tbl>
    <w:p>
      <w:pPr>
        <w:widowControl/>
        <w:spacing w:line="420" w:lineRule="exact"/>
        <w:ind w:right="420" w:rightChars="200"/>
        <w:rPr>
          <w:rFonts w:hint="eastAsia" w:ascii="宋体" w:hAnsi="宋体"/>
          <w:b/>
        </w:rPr>
      </w:pPr>
      <w:r>
        <w:rPr>
          <w:rFonts w:hint="eastAsia" w:ascii="宋体" w:hAnsi="宋体"/>
          <w:b/>
          <w:szCs w:val="21"/>
        </w:rPr>
        <w:t>注：拟委任项目经理有行贿犯罪行为的认定：以中国裁判文书网的行贿受贿犯罪档案查询结果为准。（</w:t>
      </w:r>
      <w:r>
        <w:rPr>
          <w:rFonts w:ascii="宋体" w:hAnsi="宋体"/>
          <w:b/>
          <w:szCs w:val="21"/>
        </w:rPr>
        <w:t>投标人无须提供，由招标人</w:t>
      </w:r>
      <w:r>
        <w:rPr>
          <w:rFonts w:hint="eastAsia" w:ascii="宋体" w:hAnsi="宋体"/>
          <w:b/>
          <w:szCs w:val="21"/>
        </w:rPr>
        <w:t>在公示期间对公示的拟委任项目经理通过中国裁判文书网进行行贿犯罪查询）</w:t>
      </w:r>
    </w:p>
    <w:p>
      <w:pPr>
        <w:spacing w:line="0" w:lineRule="atLeast"/>
        <w:ind w:firstLine="422" w:firstLineChars="200"/>
        <w:outlineLvl w:val="0"/>
        <w:rPr>
          <w:rFonts w:hint="eastAsia" w:ascii="宋体" w:hAnsi="宋体"/>
          <w:b/>
          <w:szCs w:val="21"/>
        </w:rPr>
      </w:pPr>
      <w:bookmarkStart w:id="29" w:name="_Toc2776"/>
      <w:r>
        <w:rPr>
          <w:rFonts w:hint="eastAsia" w:ascii="宋体" w:hAnsi="宋体"/>
          <w:b/>
          <w:szCs w:val="21"/>
        </w:rPr>
        <w:t>1. 投标人应在“第八章 投标文件格式”的“拟委任的项目经理、项目技术负责人资历</w:t>
      </w:r>
      <w:r>
        <w:rPr>
          <w:rFonts w:ascii="宋体" w:hAnsi="宋体"/>
          <w:b/>
          <w:szCs w:val="21"/>
        </w:rPr>
        <w:t>表</w:t>
      </w:r>
      <w:r>
        <w:rPr>
          <w:rFonts w:hint="eastAsia" w:ascii="宋体" w:hAnsi="宋体"/>
          <w:b/>
          <w:szCs w:val="21"/>
        </w:rPr>
        <w:t>”后</w:t>
      </w:r>
      <w:r>
        <w:rPr>
          <w:rFonts w:ascii="宋体" w:hAnsi="宋体"/>
          <w:b/>
          <w:szCs w:val="21"/>
        </w:rPr>
        <w:t>附</w:t>
      </w:r>
      <w:r>
        <w:rPr>
          <w:rFonts w:hint="eastAsia" w:ascii="宋体" w:hAnsi="宋体"/>
          <w:b/>
          <w:szCs w:val="21"/>
        </w:rPr>
        <w:t>：</w:t>
      </w:r>
      <w:bookmarkEnd w:id="29"/>
    </w:p>
    <w:p>
      <w:pPr>
        <w:spacing w:line="0" w:lineRule="atLeast"/>
        <w:ind w:firstLine="422" w:firstLineChars="200"/>
        <w:rPr>
          <w:rFonts w:hint="eastAsia" w:ascii="宋体" w:hAnsi="宋体"/>
          <w:b/>
          <w:szCs w:val="21"/>
        </w:rPr>
      </w:pPr>
      <w:r>
        <w:rPr>
          <w:rFonts w:hint="eastAsia" w:ascii="宋体" w:hAnsi="宋体"/>
          <w:b/>
          <w:szCs w:val="21"/>
        </w:rPr>
        <w:t xml:space="preserve">a项目经理和项目技术负责人的身份证、职称资格证书、安全生产考核合格证书B证以及项目经理的港口与航道工程专业一级建造师注册证书（含住房与城乡建设部建造师初始注册人员名单公告）的复印件（身份证应正反双面复印）；      </w:t>
      </w:r>
    </w:p>
    <w:p>
      <w:pPr>
        <w:spacing w:line="270" w:lineRule="exact"/>
        <w:ind w:firstLine="422" w:firstLineChars="200"/>
        <w:rPr>
          <w:rFonts w:hint="eastAsia" w:ascii="宋体" w:hAnsi="宋体"/>
          <w:b/>
          <w:szCs w:val="21"/>
        </w:rPr>
      </w:pPr>
      <w:r>
        <w:rPr>
          <w:rFonts w:hint="eastAsia" w:ascii="宋体" w:hAnsi="宋体"/>
          <w:b/>
          <w:szCs w:val="21"/>
        </w:rPr>
        <w:t>项目经理的建造师注册证书和安全生产考核合格证书以及项目技术负责人的安全生产考核合格证书中的聘用企业名称应与申请人名称一致，否则资格审查将不予通过。</w:t>
      </w:r>
    </w:p>
    <w:p>
      <w:pPr>
        <w:spacing w:line="270" w:lineRule="exact"/>
        <w:ind w:firstLine="316" w:firstLineChars="150"/>
        <w:rPr>
          <w:rFonts w:hint="eastAsia" w:ascii="宋体" w:hAnsi="宋体"/>
          <w:b/>
          <w:szCs w:val="21"/>
        </w:rPr>
      </w:pPr>
      <w:r>
        <w:rPr>
          <w:rFonts w:hint="eastAsia" w:ascii="宋体" w:hAnsi="宋体"/>
          <w:b/>
          <w:szCs w:val="21"/>
        </w:rPr>
        <w:t>b项目经理和项目技术负责人担任类似项目的项目经理或项目副经理或项目技术负责人的相关业绩证明材料（中标通知书或合同协议书或质量证明文件）的复印件，如上述资料中均未体现人员姓名、任职及业绩规模，则还须提供发包人或项目质量监督部门或项目所在地设区市行业主管部门出具的证明材料；</w:t>
      </w:r>
    </w:p>
    <w:p>
      <w:pPr>
        <w:ind w:firstLine="422" w:firstLineChars="200"/>
        <w:rPr>
          <w:rFonts w:hint="eastAsia" w:ascii="宋体" w:hAnsi="宋体"/>
          <w:b/>
          <w:szCs w:val="21"/>
        </w:rPr>
      </w:pPr>
      <w:r>
        <w:rPr>
          <w:rFonts w:hint="eastAsia" w:ascii="宋体" w:hAnsi="宋体"/>
          <w:b/>
          <w:szCs w:val="21"/>
        </w:rPr>
        <w:t>2、“在建项目”的起止时间界定：标段中标通知书发出之日起至标段交工验收通过之日止。</w:t>
      </w:r>
    </w:p>
    <w:p>
      <w:pPr>
        <w:ind w:firstLine="316" w:firstLineChars="150"/>
        <w:rPr>
          <w:rFonts w:hint="eastAsia" w:ascii="宋体" w:hAnsi="宋体"/>
          <w:b/>
          <w:szCs w:val="21"/>
        </w:rPr>
      </w:pPr>
      <w:r>
        <w:rPr>
          <w:rFonts w:hint="eastAsia" w:ascii="宋体" w:hAnsi="宋体"/>
          <w:b/>
          <w:szCs w:val="21"/>
        </w:rPr>
        <w:t>标段中标通知书中有拟委任项目经理和备选项目经理的，该拟委任项目经理和备选项目经理是否有“在建项目”按以下原则认定：</w:t>
      </w:r>
    </w:p>
    <w:p>
      <w:pPr>
        <w:ind w:firstLine="316" w:firstLineChars="150"/>
        <w:rPr>
          <w:rFonts w:hint="eastAsia" w:ascii="宋体" w:hAnsi="宋体"/>
          <w:b/>
          <w:szCs w:val="21"/>
        </w:rPr>
      </w:pPr>
      <w:r>
        <w:rPr>
          <w:rFonts w:hint="eastAsia" w:ascii="宋体" w:hAnsi="宋体"/>
          <w:b/>
          <w:szCs w:val="21"/>
        </w:rPr>
        <w:t>a．合同协议书中明确的项目经理为中标通知书中的拟委任项目经理、备选项目经理之一的，则仅认定合同协议书中明确的项目经理有“在建项目”。</w:t>
      </w:r>
    </w:p>
    <w:p>
      <w:pPr>
        <w:ind w:firstLine="316" w:firstLineChars="150"/>
        <w:rPr>
          <w:rFonts w:hint="eastAsia" w:ascii="宋体" w:hAnsi="宋体"/>
          <w:b/>
          <w:szCs w:val="21"/>
        </w:rPr>
      </w:pPr>
      <w:r>
        <w:rPr>
          <w:rFonts w:hint="eastAsia" w:ascii="宋体" w:hAnsi="宋体"/>
          <w:b/>
          <w:szCs w:val="21"/>
        </w:rPr>
        <w:t>b．合同协议书中明确的项目经理均不是中标通知书中的拟任项目经理或备选项目经理的，则合同协议书中明确的项目经理以及中标通知书中的拟任项目经理、备选项目经理三者均视为有“在建项目”。</w:t>
      </w:r>
    </w:p>
    <w:p>
      <w:r>
        <w:rPr>
          <w:rFonts w:hint="eastAsia" w:ascii="宋体" w:hAnsi="宋体"/>
          <w:b/>
          <w:szCs w:val="21"/>
        </w:rPr>
        <w:t>c．中标通知书已发出，但合同协议书尚未签订的，则中标通知书中的拟任项目经理和备选项目经理均视为有“在建项目”。</w:t>
      </w:r>
      <w:bookmarkStart w:id="30" w:name="_GoBack"/>
      <w:bookmarkEnd w:id="3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rPr>
        <w:rStyle w:val="7"/>
      </w:rPr>
      <w:t>27</w:t>
    </w:r>
    <w:r>
      <w:fldChar w:fldCharType="end"/>
    </w: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rPr>
        <w:rStyle w:val="7"/>
      </w:rPr>
      <w:t>157</w:t>
    </w:r>
    <w:r>
      <w:fldChar w:fldCharType="end"/>
    </w:r>
  </w:p>
  <w:p>
    <w:pPr>
      <w:pStyle w:val="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rPr>
        <w:rStyle w:val="7"/>
      </w:rPr>
      <w:t>35</w:t>
    </w:r>
    <w:r>
      <w:fldChar w:fldCharType="end"/>
    </w:r>
  </w:p>
  <w:p>
    <w:pPr>
      <w:pStyle w:val="3"/>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rPr>
        <w:rStyle w:val="7"/>
      </w:rPr>
      <w:t>157</w:t>
    </w:r>
    <w:r>
      <w:fldChar w:fldCharType="end"/>
    </w:r>
  </w:p>
  <w:p>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4F70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2021-09-06T00:45:51Z</dcterms:created>
  <dc:creator>user</dc:creator>
  <cp:lastModifiedBy>user</cp:lastModifiedBy>
  <dcterms:modified xsi:type="dcterms:W3CDTF">2021-09-06T00:46:08Z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35EA2492C47A48A19C17E3FA3EFAEAA5</vt:lpwstr>
  </property>
</Properties>
</file>